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8C" w:rsidRPr="00AF1292" w:rsidRDefault="00055E34">
      <w:pPr>
        <w:jc w:val="center"/>
        <w:rPr>
          <w:rFonts w:ascii="Bookman Old Style" w:eastAsia="Montserrat" w:hAnsi="Bookman Old Style" w:cs="Montserrat"/>
          <w:b/>
        </w:rPr>
      </w:pPr>
      <w:bookmarkStart w:id="0" w:name="_GoBack"/>
      <w:bookmarkEnd w:id="0"/>
      <w:r w:rsidRPr="00AF1292">
        <w:rPr>
          <w:rFonts w:ascii="Bookman Old Style" w:eastAsia="Montserrat" w:hAnsi="Bookman Old Style" w:cs="Montserrat"/>
          <w:b/>
        </w:rPr>
        <w:t>ENMIENDA A LA PONENCIA PARA PRIMER DEBATE DEL PROYECTO DE LEY N° 360 DE 2024 CÁMARA - Nº 225 DE 2024 SENADO “POR MEDIO DEL CUAL SE MODIFICA Y ESTABLECE UN AGRAVANTE AL ARTÍCULO 296 DE LA LEY 599 DEL 2000, CÓDIGO PENAL COLOMBIANO Y SE DICTAN OTRAS DISPOSICIONES”.</w:t>
      </w:r>
    </w:p>
    <w:p w:rsidR="00AA558C" w:rsidRPr="00AF1292" w:rsidRDefault="00AA558C">
      <w:pPr>
        <w:jc w:val="center"/>
        <w:rPr>
          <w:rFonts w:ascii="Bookman Old Style" w:eastAsia="Montserrat" w:hAnsi="Bookman Old Style" w:cs="Montserrat"/>
          <w:b/>
        </w:rPr>
      </w:pPr>
    </w:p>
    <w:p w:rsidR="00AA558C" w:rsidRPr="00AF1292" w:rsidRDefault="00AA558C">
      <w:pPr>
        <w:jc w:val="center"/>
        <w:rPr>
          <w:rFonts w:ascii="Bookman Old Style" w:eastAsia="Montserrat" w:hAnsi="Bookman Old Style" w:cs="Montserrat"/>
          <w:b/>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Bogotá D.C, </w:t>
      </w:r>
      <w:r w:rsidR="00055E34" w:rsidRPr="00AF1292">
        <w:rPr>
          <w:rFonts w:ascii="Bookman Old Style" w:eastAsia="Montserrat" w:hAnsi="Bookman Old Style" w:cs="Montserrat"/>
        </w:rPr>
        <w:t>febrero</w:t>
      </w:r>
      <w:r w:rsidRPr="00AF1292">
        <w:rPr>
          <w:rFonts w:ascii="Bookman Old Style" w:eastAsia="Montserrat" w:hAnsi="Bookman Old Style" w:cs="Montserrat"/>
        </w:rPr>
        <w:t xml:space="preserve"> de 2024</w:t>
      </w:r>
    </w:p>
    <w:p w:rsidR="00AA558C" w:rsidRPr="00AF1292" w:rsidRDefault="00AA558C">
      <w:pPr>
        <w:jc w:val="both"/>
        <w:rPr>
          <w:rFonts w:ascii="Bookman Old Style" w:eastAsia="Montserrat" w:hAnsi="Bookman Old Style" w:cs="Montserrat"/>
        </w:rPr>
      </w:pPr>
    </w:p>
    <w:p w:rsidR="00AA558C" w:rsidRPr="00AF1292" w:rsidRDefault="00AA558C">
      <w:pPr>
        <w:jc w:val="both"/>
        <w:rPr>
          <w:rFonts w:ascii="Bookman Old Style" w:eastAsia="Montserrat" w:hAnsi="Bookman Old Style" w:cs="Montserrat"/>
        </w:rPr>
      </w:pPr>
    </w:p>
    <w:p w:rsidR="00AA558C" w:rsidRPr="00AF1292" w:rsidRDefault="005A0A26">
      <w:pPr>
        <w:rPr>
          <w:rFonts w:ascii="Bookman Old Style" w:eastAsia="Montserrat" w:hAnsi="Bookman Old Style" w:cs="Montserrat"/>
        </w:rPr>
      </w:pPr>
      <w:r w:rsidRPr="00AF1292">
        <w:rPr>
          <w:rFonts w:ascii="Bookman Old Style" w:eastAsia="Montserrat" w:hAnsi="Bookman Old Style" w:cs="Montserrat"/>
        </w:rPr>
        <w:t>Honorable Representante</w:t>
      </w:r>
    </w:p>
    <w:p w:rsidR="00AA558C" w:rsidRPr="00AF1292" w:rsidRDefault="00AA558C">
      <w:pPr>
        <w:rPr>
          <w:rFonts w:ascii="Bookman Old Style" w:eastAsia="Montserrat" w:hAnsi="Bookman Old Style" w:cs="Montserrat"/>
        </w:rPr>
      </w:pPr>
    </w:p>
    <w:p w:rsidR="00AA558C" w:rsidRPr="00AF1292" w:rsidRDefault="005A0A26">
      <w:pPr>
        <w:rPr>
          <w:rFonts w:ascii="Bookman Old Style" w:eastAsia="Montserrat" w:hAnsi="Bookman Old Style" w:cs="Montserrat"/>
        </w:rPr>
      </w:pPr>
      <w:r w:rsidRPr="00AF1292">
        <w:rPr>
          <w:rFonts w:ascii="Bookman Old Style" w:eastAsia="Montserrat" w:hAnsi="Bookman Old Style" w:cs="Montserrat"/>
          <w:b/>
          <w:highlight w:val="white"/>
        </w:rPr>
        <w:t>ANA PAOLA GARCÍA SOTO</w:t>
      </w:r>
    </w:p>
    <w:p w:rsidR="00AA558C" w:rsidRPr="00AF1292" w:rsidRDefault="005A0A26">
      <w:pPr>
        <w:rPr>
          <w:rFonts w:ascii="Bookman Old Style" w:eastAsia="Montserrat" w:hAnsi="Bookman Old Style" w:cs="Montserrat"/>
        </w:rPr>
      </w:pPr>
      <w:r w:rsidRPr="00AF1292">
        <w:rPr>
          <w:rFonts w:ascii="Bookman Old Style" w:eastAsia="Montserrat" w:hAnsi="Bookman Old Style" w:cs="Montserrat"/>
        </w:rPr>
        <w:t>Presidente de la Comisión Primera Constitucional</w:t>
      </w:r>
    </w:p>
    <w:p w:rsidR="00AA558C" w:rsidRPr="00AF1292" w:rsidRDefault="005A0A26">
      <w:pPr>
        <w:rPr>
          <w:rFonts w:ascii="Bookman Old Style" w:eastAsia="Montserrat" w:hAnsi="Bookman Old Style" w:cs="Montserrat"/>
        </w:rPr>
      </w:pPr>
      <w:r w:rsidRPr="00AF1292">
        <w:rPr>
          <w:rFonts w:ascii="Bookman Old Style" w:eastAsia="Montserrat" w:hAnsi="Bookman Old Style" w:cs="Montserrat"/>
        </w:rPr>
        <w:t xml:space="preserve">Cámara de Representantes </w:t>
      </w:r>
    </w:p>
    <w:p w:rsidR="00AA558C" w:rsidRPr="00AF1292" w:rsidRDefault="00AA558C">
      <w:pPr>
        <w:ind w:left="140"/>
        <w:rPr>
          <w:rFonts w:ascii="Bookman Old Style" w:eastAsia="Montserrat" w:hAnsi="Bookman Old Style" w:cs="Montserrat"/>
        </w:rPr>
      </w:pPr>
    </w:p>
    <w:p w:rsidR="00AA558C" w:rsidRPr="00AF1292" w:rsidRDefault="005A0A26" w:rsidP="00AF1292">
      <w:pPr>
        <w:ind w:left="1440"/>
        <w:jc w:val="both"/>
        <w:rPr>
          <w:rFonts w:ascii="Bookman Old Style" w:eastAsia="Montserrat" w:hAnsi="Bookman Old Style" w:cs="Montserrat"/>
          <w:i/>
        </w:rPr>
      </w:pPr>
      <w:r w:rsidRPr="00AF1292">
        <w:rPr>
          <w:rFonts w:ascii="Bookman Old Style" w:eastAsia="Montserrat" w:hAnsi="Bookman Old Style" w:cs="Montserrat"/>
          <w:b/>
        </w:rPr>
        <w:t xml:space="preserve">Asunto: </w:t>
      </w:r>
      <w:r w:rsidR="00055E34" w:rsidRPr="00AF1292">
        <w:rPr>
          <w:rFonts w:ascii="Bookman Old Style" w:eastAsia="Montserrat" w:hAnsi="Bookman Old Style" w:cs="Montserrat"/>
        </w:rPr>
        <w:t xml:space="preserve">Enmienda a la </w:t>
      </w:r>
      <w:r w:rsidRPr="00AF1292">
        <w:rPr>
          <w:rFonts w:ascii="Bookman Old Style" w:eastAsia="Montserrat" w:hAnsi="Bookman Old Style" w:cs="Montserrat"/>
        </w:rPr>
        <w:t xml:space="preserve">Ponencia para </w:t>
      </w:r>
      <w:r w:rsidR="00055E34" w:rsidRPr="00AF1292">
        <w:rPr>
          <w:rFonts w:ascii="Bookman Old Style" w:eastAsia="Montserrat" w:hAnsi="Bookman Old Style" w:cs="Montserrat"/>
        </w:rPr>
        <w:t>Primer</w:t>
      </w:r>
      <w:r w:rsidRPr="00AF1292">
        <w:rPr>
          <w:rFonts w:ascii="Bookman Old Style" w:eastAsia="Montserrat" w:hAnsi="Bookman Old Style" w:cs="Montserrat"/>
        </w:rPr>
        <w:t xml:space="preserve"> Debate al Proyecto de Ley Nº 225 de 2024 Senado nº 360 de 2024 </w:t>
      </w:r>
      <w:r w:rsidR="00055E34" w:rsidRPr="00AF1292">
        <w:rPr>
          <w:rFonts w:ascii="Bookman Old Style" w:eastAsia="Montserrat" w:hAnsi="Bookman Old Style" w:cs="Montserrat"/>
        </w:rPr>
        <w:t>Cámara</w:t>
      </w:r>
      <w:r w:rsidR="00055E34" w:rsidRPr="00AF1292">
        <w:rPr>
          <w:rFonts w:ascii="Bookman Old Style" w:eastAsia="Montserrat" w:hAnsi="Bookman Old Style" w:cs="Montserrat"/>
          <w:i/>
        </w:rPr>
        <w:t xml:space="preserve"> “Por</w:t>
      </w:r>
      <w:r w:rsidRPr="00AF1292">
        <w:rPr>
          <w:rFonts w:ascii="Bookman Old Style" w:eastAsia="Montserrat" w:hAnsi="Bookman Old Style" w:cs="Montserrat"/>
          <w:i/>
        </w:rPr>
        <w:t xml:space="preserve"> medio de la cual se modifica y establece un agravante al artículo 296 de la Ley 599 del 2000, Código Penal Colombiano y se dictan otras disposiciones”.</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Honorable Presidente:</w:t>
      </w:r>
    </w:p>
    <w:p w:rsidR="00DC024E" w:rsidRPr="00AF1292" w:rsidRDefault="00DC024E" w:rsidP="00DC024E">
      <w:pPr>
        <w:jc w:val="both"/>
        <w:rPr>
          <w:rFonts w:ascii="Bookman Old Style" w:eastAsia="Montserrat" w:hAnsi="Bookman Old Style" w:cs="Montserrat"/>
          <w:color w:val="FF0000"/>
          <w:lang w:val="es-CO"/>
        </w:rPr>
      </w:pPr>
    </w:p>
    <w:p w:rsidR="00DC024E" w:rsidRPr="00AF1292" w:rsidRDefault="00DC024E" w:rsidP="00DC024E">
      <w:pPr>
        <w:jc w:val="both"/>
        <w:rPr>
          <w:rFonts w:ascii="Bookman Old Style" w:eastAsia="Montserrat" w:hAnsi="Bookman Old Style" w:cs="Montserrat"/>
          <w:lang w:val="es-CO"/>
        </w:rPr>
      </w:pPr>
      <w:r w:rsidRPr="00AF1292">
        <w:rPr>
          <w:rFonts w:ascii="Bookman Old Style" w:eastAsia="Montserrat" w:hAnsi="Bookman Old Style" w:cs="Montserrat"/>
          <w:lang w:val="es-CO"/>
        </w:rPr>
        <w:t>El pasado mes de octubre de 2024 se radicó en la Comisión Primera de la Cámara de Representantes el texto de ponencia positivo para primer debate de la presente iniciativa, conforme a la honrosa designación realizada por la Mesa Directiva y en cumplimiento de los deberes establecidos en la Constitución Política y la Ley 5ª de 1992.</w:t>
      </w:r>
    </w:p>
    <w:p w:rsidR="00DC024E" w:rsidRPr="00AF1292" w:rsidRDefault="00DC024E" w:rsidP="00DC024E">
      <w:pPr>
        <w:jc w:val="both"/>
        <w:rPr>
          <w:rFonts w:ascii="Bookman Old Style" w:eastAsia="Montserrat" w:hAnsi="Bookman Old Style" w:cs="Montserrat"/>
          <w:lang w:val="es-CO"/>
        </w:rPr>
      </w:pPr>
    </w:p>
    <w:p w:rsidR="004F6A12" w:rsidRPr="00AF1292" w:rsidRDefault="00DC024E" w:rsidP="0059632C">
      <w:pPr>
        <w:jc w:val="both"/>
        <w:rPr>
          <w:rFonts w:ascii="Bookman Old Style" w:eastAsia="Montserrat" w:hAnsi="Bookman Old Style" w:cs="Montserrat"/>
          <w:lang w:val="es-CO"/>
        </w:rPr>
      </w:pPr>
      <w:r w:rsidRPr="00AF1292">
        <w:rPr>
          <w:rFonts w:ascii="Bookman Old Style" w:eastAsia="Montserrat" w:hAnsi="Bookman Old Style" w:cs="Montserrat"/>
          <w:lang w:val="es-CO"/>
        </w:rPr>
        <w:t xml:space="preserve">Revisando el texto de dicha ponencia, se observa que </w:t>
      </w:r>
      <w:r w:rsidR="0059632C" w:rsidRPr="00AF1292">
        <w:rPr>
          <w:rFonts w:ascii="Bookman Old Style" w:eastAsia="Montserrat" w:hAnsi="Bookman Old Style" w:cs="Montserrat"/>
          <w:lang w:val="es-CO"/>
        </w:rPr>
        <w:t xml:space="preserve">es necesario realizar ajustes al mismo teniendo en cuenta las recomendaciones y realizadas por el </w:t>
      </w:r>
      <w:r w:rsidR="0059632C" w:rsidRPr="00AF1292">
        <w:rPr>
          <w:rFonts w:ascii="Bookman Old Style" w:eastAsia="Montserrat" w:hAnsi="Bookman Old Style" w:cs="Montserrat"/>
          <w:bCs/>
        </w:rPr>
        <w:t>Ministerio</w:t>
      </w:r>
      <w:r w:rsidR="0059632C" w:rsidRPr="00AF1292">
        <w:rPr>
          <w:rFonts w:ascii="Bookman Old Style" w:eastAsia="Montserrat" w:hAnsi="Bookman Old Style" w:cs="Montserrat"/>
        </w:rPr>
        <w:t xml:space="preserve"> de Tecnologías de la Información y las Comunicaciones, por lo que, </w:t>
      </w:r>
      <w:r w:rsidR="0059632C" w:rsidRPr="00AF1292">
        <w:rPr>
          <w:rFonts w:ascii="Bookman Old Style" w:eastAsia="Montserrat" w:hAnsi="Bookman Old Style" w:cs="Montserrat"/>
          <w:lang w:val="es-CO"/>
        </w:rPr>
        <w:t>con</w:t>
      </w:r>
      <w:r w:rsidR="004F6A12" w:rsidRPr="00AF1292">
        <w:rPr>
          <w:rFonts w:ascii="Bookman Old Style" w:eastAsia="Montserrat" w:hAnsi="Bookman Old Style" w:cs="Montserrat"/>
          <w:lang w:val="es-CO"/>
        </w:rPr>
        <w:t xml:space="preserve"> fundamento en el artículo 180 de la ley 5 de 1992 </w:t>
      </w:r>
      <w:r w:rsidR="0059632C" w:rsidRPr="00AF1292">
        <w:rPr>
          <w:rFonts w:ascii="Bookman Old Style" w:eastAsia="Montserrat" w:hAnsi="Bookman Old Style" w:cs="Montserrat"/>
          <w:lang w:val="es-CO"/>
        </w:rPr>
        <w:t>me</w:t>
      </w:r>
      <w:r w:rsidR="004F6A12" w:rsidRPr="00AF1292">
        <w:rPr>
          <w:rFonts w:ascii="Bookman Old Style" w:eastAsia="Montserrat" w:hAnsi="Bookman Old Style" w:cs="Montserrat"/>
          <w:lang w:val="es-CO"/>
        </w:rPr>
        <w:t xml:space="preserve"> </w:t>
      </w:r>
      <w:r w:rsidR="0059632C" w:rsidRPr="00AF1292">
        <w:rPr>
          <w:rFonts w:ascii="Bookman Old Style" w:eastAsia="Montserrat" w:hAnsi="Bookman Old Style" w:cs="Montserrat"/>
          <w:lang w:val="es-CO"/>
        </w:rPr>
        <w:t>permito</w:t>
      </w:r>
      <w:r w:rsidR="004F6A12" w:rsidRPr="00AF1292">
        <w:rPr>
          <w:rFonts w:ascii="Bookman Old Style" w:eastAsia="Montserrat" w:hAnsi="Bookman Old Style" w:cs="Montserrat"/>
          <w:lang w:val="es-CO"/>
        </w:rPr>
        <w:t xml:space="preserve"> presentar </w:t>
      </w:r>
      <w:r w:rsidR="004F6A12" w:rsidRPr="00AF1292">
        <w:rPr>
          <w:rFonts w:ascii="Bookman Old Style" w:eastAsia="Montserrat" w:hAnsi="Bookman Old Style" w:cs="Montserrat"/>
          <w:b/>
          <w:u w:val="single"/>
          <w:lang w:val="es-CO"/>
        </w:rPr>
        <w:t>enmienda</w:t>
      </w:r>
      <w:r w:rsidR="004F6A12" w:rsidRPr="00AF1292">
        <w:rPr>
          <w:rFonts w:ascii="Bookman Old Style" w:eastAsia="Montserrat" w:hAnsi="Bookman Old Style" w:cs="Montserrat"/>
          <w:lang w:val="es-CO"/>
        </w:rPr>
        <w:t xml:space="preserve"> del informe de ponencia de la referencia publicado en la gaceta 1948 de 2024 en los siguientes términos:</w:t>
      </w:r>
    </w:p>
    <w:p w:rsidR="00AA558C" w:rsidRPr="00AF1292" w:rsidRDefault="00AA558C" w:rsidP="004F6A12">
      <w:pPr>
        <w:widowControl w:val="0"/>
        <w:rPr>
          <w:rFonts w:ascii="Bookman Old Style" w:eastAsia="Montserrat" w:hAnsi="Bookman Old Style" w:cs="Montserrat"/>
          <w:b/>
        </w:rPr>
      </w:pPr>
    </w:p>
    <w:p w:rsidR="00AA558C" w:rsidRPr="00AF1292" w:rsidRDefault="005A0A26">
      <w:pPr>
        <w:numPr>
          <w:ilvl w:val="0"/>
          <w:numId w:val="2"/>
        </w:numPr>
        <w:jc w:val="both"/>
        <w:rPr>
          <w:rFonts w:ascii="Bookman Old Style" w:eastAsia="Montserrat" w:hAnsi="Bookman Old Style" w:cs="Montserrat"/>
          <w:b/>
        </w:rPr>
      </w:pPr>
      <w:r w:rsidRPr="00AF1292">
        <w:rPr>
          <w:rFonts w:ascii="Bookman Old Style" w:eastAsia="Montserrat" w:hAnsi="Bookman Old Style" w:cs="Montserrat"/>
          <w:b/>
        </w:rPr>
        <w:t xml:space="preserve">Antecedentes de la Iniciativa </w:t>
      </w:r>
    </w:p>
    <w:p w:rsidR="00AA558C" w:rsidRPr="00AF1292" w:rsidRDefault="00AA558C">
      <w:pPr>
        <w:jc w:val="both"/>
        <w:rPr>
          <w:rFonts w:ascii="Bookman Old Style" w:eastAsia="Montserrat" w:hAnsi="Bookman Old Style" w:cs="Montserrat"/>
          <w:b/>
        </w:rPr>
      </w:pPr>
    </w:p>
    <w:p w:rsidR="00AA558C" w:rsidRPr="00AF1292" w:rsidRDefault="009F445C">
      <w:pPr>
        <w:jc w:val="both"/>
        <w:rPr>
          <w:rFonts w:ascii="Bookman Old Style" w:eastAsia="Montserrat" w:hAnsi="Bookman Old Style" w:cs="Montserrat"/>
        </w:rPr>
      </w:pPr>
      <w:r>
        <w:rPr>
          <w:rFonts w:ascii="Bookman Old Style" w:eastAsia="Montserrat" w:hAnsi="Bookman Old Style" w:cs="Montserrat"/>
        </w:rPr>
        <w:t xml:space="preserve">El </w:t>
      </w:r>
      <w:r w:rsidRPr="00AF1292">
        <w:rPr>
          <w:rFonts w:ascii="Bookman Old Style" w:eastAsia="Montserrat" w:hAnsi="Bookman Old Style" w:cs="Montserrat"/>
        </w:rPr>
        <w:t>Proyecto de Ley Nº 225 de 2024 S</w:t>
      </w:r>
      <w:r>
        <w:rPr>
          <w:rFonts w:ascii="Bookman Old Style" w:eastAsia="Montserrat" w:hAnsi="Bookman Old Style" w:cs="Montserrat"/>
        </w:rPr>
        <w:t>enado N</w:t>
      </w:r>
      <w:r w:rsidRPr="00AF1292">
        <w:rPr>
          <w:rFonts w:ascii="Bookman Old Style" w:eastAsia="Montserrat" w:hAnsi="Bookman Old Style" w:cs="Montserrat"/>
        </w:rPr>
        <w:t>º 360 de 2024 Cámara</w:t>
      </w:r>
      <w:r w:rsidRPr="00AF1292">
        <w:rPr>
          <w:rFonts w:ascii="Bookman Old Style" w:eastAsia="Montserrat" w:hAnsi="Bookman Old Style" w:cs="Montserrat"/>
          <w:i/>
        </w:rPr>
        <w:t xml:space="preserve"> “Por medio de la cual se modifica y establece un agravante al artículo 296 de la Ley 599 del 2000, Código Penal Colombiano y se dictan otras disposiciones”.</w:t>
      </w:r>
      <w:r>
        <w:rPr>
          <w:rFonts w:ascii="Bookman Old Style" w:eastAsia="Montserrat" w:hAnsi="Bookman Old Style" w:cs="Montserrat"/>
          <w:i/>
        </w:rPr>
        <w:t xml:space="preserve"> </w:t>
      </w:r>
      <w:r w:rsidR="005A0A26" w:rsidRPr="00AF1292">
        <w:rPr>
          <w:rFonts w:ascii="Bookman Old Style" w:eastAsia="Montserrat" w:hAnsi="Bookman Old Style" w:cs="Montserrat"/>
        </w:rPr>
        <w:t xml:space="preserve">fue radicado el día 21 de febrero de 2024, presentado por el Senador Jonathan Ferney Pulido Hernández. El Proyecto de Ley fue publicado en la Gaceta 111 de 2024. La correspondiente designación como ponente fue realizada al suscrito Senador, por la Mesa Directiva de la Comisión Primera del Senado el veinte (20) de marzo de 2024. El día ocho (8) de mayo de 2024, en la Honorable Comisión Primera Constitucional del Senado de la República, se surtió el primer debate de esta iniciativa, la cual fue aprobada, e </w:t>
      </w:r>
      <w:r w:rsidR="005A0A26" w:rsidRPr="00AF1292">
        <w:rPr>
          <w:rFonts w:ascii="Bookman Old Style" w:eastAsia="Montserrat" w:hAnsi="Bookman Old Style" w:cs="Montserrat"/>
        </w:rPr>
        <w:lastRenderedPageBreak/>
        <w:t>igualmente se me asignó como único ponente para el segundo debate ante la Plenaria del Senado de la República, dándole cumplimiento a lo dispuesto por el artículo 153, de la referida Ley 5 de 1992.</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La ponencia para el segundo debate fue publicada en la Gaceta 647 de 2024, la cual fue discutida y aprobada el día 10 de septiembre de 2024.</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Con el fin de que el citado proyecto de ley siga su curso legal y reglamentario, y en atención a lo establecido en el artículo 150, de la Ley 5, de 1992, la Secretaría de la Comisión Primera Constitucional de la Cámara de Representantes me notificó, mediante oficio, mi designación como único ponente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A la fecha, no existen </w:t>
      </w:r>
      <w:r w:rsidR="00DC024E" w:rsidRPr="00AF1292">
        <w:rPr>
          <w:rFonts w:ascii="Bookman Old Style" w:eastAsia="Montserrat" w:hAnsi="Bookman Old Style" w:cs="Montserrat"/>
        </w:rPr>
        <w:t>antecedentes de</w:t>
      </w:r>
      <w:r w:rsidRPr="00AF1292">
        <w:rPr>
          <w:rFonts w:ascii="Bookman Old Style" w:eastAsia="Montserrat" w:hAnsi="Bookman Old Style" w:cs="Montserrat"/>
        </w:rPr>
        <w:t xml:space="preserve"> iniciativas o trámites </w:t>
      </w:r>
      <w:r w:rsidR="00DC024E" w:rsidRPr="00AF1292">
        <w:rPr>
          <w:rFonts w:ascii="Bookman Old Style" w:eastAsia="Montserrat" w:hAnsi="Bookman Old Style" w:cs="Montserrat"/>
        </w:rPr>
        <w:t>legislativos que</w:t>
      </w:r>
      <w:r w:rsidRPr="00AF1292">
        <w:rPr>
          <w:rFonts w:ascii="Bookman Old Style" w:eastAsia="Montserrat" w:hAnsi="Bookman Old Style" w:cs="Montserrat"/>
        </w:rPr>
        <w:t xml:space="preserve"> tengan la finalidad de </w:t>
      </w:r>
      <w:r w:rsidR="00DC024E" w:rsidRPr="00AF1292">
        <w:rPr>
          <w:rFonts w:ascii="Bookman Old Style" w:eastAsia="Montserrat" w:hAnsi="Bookman Old Style" w:cs="Montserrat"/>
        </w:rPr>
        <w:t>tipificar la</w:t>
      </w:r>
      <w:r w:rsidRPr="00AF1292">
        <w:rPr>
          <w:rFonts w:ascii="Bookman Old Style" w:eastAsia="Montserrat" w:hAnsi="Bookman Old Style" w:cs="Montserrat"/>
        </w:rPr>
        <w:t xml:space="preserve"> suplantación de identidad o falsedad personal a través de la Inteligencia Artificial (en adelante IA), esto debido a la reciente creación e implementación de este tipo de </w:t>
      </w:r>
      <w:r w:rsidR="00DC024E" w:rsidRPr="00AF1292">
        <w:rPr>
          <w:rFonts w:ascii="Bookman Old Style" w:eastAsia="Montserrat" w:hAnsi="Bookman Old Style" w:cs="Montserrat"/>
        </w:rPr>
        <w:t>tecnología, la</w:t>
      </w:r>
      <w:r w:rsidRPr="00AF1292">
        <w:rPr>
          <w:rFonts w:ascii="Bookman Old Style" w:eastAsia="Montserrat" w:hAnsi="Bookman Old Style" w:cs="Montserrat"/>
        </w:rPr>
        <w:t xml:space="preserve"> cual está empezando a ser utilizada para cometer conductas delictivas.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Ahora bien, es pertinente precisar que, actualmente en el Congreso de la República se encuentran en trámite varias iniciativas legislativas orientadas a la regulación de la Inteligencia Artificial abordada desde el aspecto normativo para su debido funcionamiento, incluyendo las acciones de vigilancia y supervisión en cabeza de varias entidades del orden nacional para el efecto.</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Al respecto, se trata de los siguientes proyectos de Ley:</w:t>
      </w:r>
    </w:p>
    <w:p w:rsidR="00AA558C" w:rsidRPr="00AF1292" w:rsidRDefault="00AA558C">
      <w:pPr>
        <w:jc w:val="both"/>
        <w:rPr>
          <w:rFonts w:ascii="Bookman Old Style" w:eastAsia="Montserrat" w:hAnsi="Bookman Old Style" w:cs="Montserrat"/>
        </w:rPr>
      </w:pPr>
    </w:p>
    <w:p w:rsidR="00AA558C" w:rsidRPr="00AF1292" w:rsidRDefault="005A0A26">
      <w:pPr>
        <w:numPr>
          <w:ilvl w:val="0"/>
          <w:numId w:val="3"/>
        </w:numPr>
        <w:ind w:left="425"/>
        <w:jc w:val="both"/>
        <w:rPr>
          <w:rFonts w:ascii="Bookman Old Style" w:eastAsia="Montserrat" w:hAnsi="Bookman Old Style" w:cs="Montserrat"/>
        </w:rPr>
      </w:pPr>
      <w:r w:rsidRPr="00AF1292">
        <w:rPr>
          <w:rFonts w:ascii="Bookman Old Style" w:eastAsia="Montserrat" w:hAnsi="Bookman Old Style" w:cs="Montserrat"/>
        </w:rPr>
        <w:t>59/2023 Senado: Por medio de la cual se establecen los lineamientos de Política Pública para el desarrollo, uso e implementación de Inteligencia Artificial y se dictan otras disposiciones.</w:t>
      </w:r>
    </w:p>
    <w:p w:rsidR="00AA558C" w:rsidRPr="00AF1292" w:rsidRDefault="00AA558C">
      <w:pPr>
        <w:ind w:left="425" w:hanging="360"/>
        <w:jc w:val="both"/>
        <w:rPr>
          <w:rFonts w:ascii="Bookman Old Style" w:eastAsia="Montserrat" w:hAnsi="Bookman Old Style" w:cs="Montserrat"/>
        </w:rPr>
      </w:pPr>
    </w:p>
    <w:p w:rsidR="00AA558C" w:rsidRPr="00AF1292" w:rsidRDefault="005A0A26">
      <w:pPr>
        <w:numPr>
          <w:ilvl w:val="0"/>
          <w:numId w:val="3"/>
        </w:numPr>
        <w:ind w:left="425"/>
        <w:jc w:val="both"/>
        <w:rPr>
          <w:rFonts w:ascii="Bookman Old Style" w:eastAsia="Montserrat" w:hAnsi="Bookman Old Style" w:cs="Montserrat"/>
        </w:rPr>
      </w:pPr>
      <w:r w:rsidRPr="00AF1292">
        <w:rPr>
          <w:rFonts w:ascii="Bookman Old Style" w:eastAsia="Montserrat" w:hAnsi="Bookman Old Style" w:cs="Montserrat"/>
        </w:rPr>
        <w:t>91/2023 Senado: Mediante la cual se establece el deber de informar para el uso responsable de la inteligencia artificial y se dictan otras disposiciones.</w:t>
      </w:r>
    </w:p>
    <w:p w:rsidR="00AA558C" w:rsidRPr="00AF1292" w:rsidRDefault="00AA558C">
      <w:pPr>
        <w:ind w:left="425" w:hanging="360"/>
        <w:jc w:val="both"/>
        <w:rPr>
          <w:rFonts w:ascii="Bookman Old Style" w:eastAsia="Montserrat" w:hAnsi="Bookman Old Style" w:cs="Montserrat"/>
        </w:rPr>
      </w:pPr>
    </w:p>
    <w:p w:rsidR="00AA558C" w:rsidRPr="00AF1292" w:rsidRDefault="005A0A26">
      <w:pPr>
        <w:numPr>
          <w:ilvl w:val="0"/>
          <w:numId w:val="3"/>
        </w:numPr>
        <w:ind w:left="425"/>
        <w:jc w:val="both"/>
        <w:rPr>
          <w:rFonts w:ascii="Bookman Old Style" w:eastAsia="Montserrat" w:hAnsi="Bookman Old Style" w:cs="Montserrat"/>
        </w:rPr>
      </w:pPr>
      <w:r w:rsidRPr="00AF1292">
        <w:rPr>
          <w:rFonts w:ascii="Bookman Old Style" w:eastAsia="Montserrat" w:hAnsi="Bookman Old Style" w:cs="Montserrat"/>
        </w:rPr>
        <w:t>130/2023 Senado: Por medio de la cual se crea la armonización de la inteligencia artificial con el derecho al trabajo de las personas.</w:t>
      </w:r>
    </w:p>
    <w:p w:rsidR="00AA558C" w:rsidRPr="00AF1292" w:rsidRDefault="00AA558C">
      <w:pPr>
        <w:ind w:left="425" w:hanging="360"/>
        <w:jc w:val="both"/>
        <w:rPr>
          <w:rFonts w:ascii="Bookman Old Style" w:eastAsia="Montserrat" w:hAnsi="Bookman Old Style" w:cs="Montserrat"/>
        </w:rPr>
      </w:pPr>
    </w:p>
    <w:p w:rsidR="00AA558C" w:rsidRPr="00AF1292" w:rsidRDefault="005A0A26">
      <w:pPr>
        <w:numPr>
          <w:ilvl w:val="0"/>
          <w:numId w:val="3"/>
        </w:numPr>
        <w:ind w:left="425"/>
        <w:jc w:val="both"/>
        <w:rPr>
          <w:rFonts w:ascii="Bookman Old Style" w:eastAsia="Montserrat" w:hAnsi="Bookman Old Style" w:cs="Montserrat"/>
        </w:rPr>
      </w:pPr>
      <w:r w:rsidRPr="00AF1292">
        <w:rPr>
          <w:rFonts w:ascii="Bookman Old Style" w:eastAsia="Montserrat" w:hAnsi="Bookman Old Style" w:cs="Montserrat"/>
        </w:rPr>
        <w:t>200/2023 Cámara: Por la cual se define y regula la Inteligencia Artificial, se ajusta a estándares de Derechos Humanos, se establecen límites frente a su desarrollo, uso e implementación y se dictan otras disposiciones.</w:t>
      </w:r>
    </w:p>
    <w:p w:rsidR="00AA558C" w:rsidRPr="00AF1292" w:rsidRDefault="00AA558C">
      <w:pPr>
        <w:ind w:left="720"/>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En consideración a lo expuesto, el presente proyecto de Ley resulta por ser un tema de importancia, debido a la necesidad de regulación que en materia penal conlleva la Inteligencia Artificial en Colombia. Le corresponderá por consiguiente al Congreso de la República, en el marco del trámite legislativo que le es propio, adelantar los proyectos de ley sobre la materia antes referenciados.</w:t>
      </w:r>
    </w:p>
    <w:p w:rsidR="00AA558C" w:rsidRPr="00AF1292" w:rsidRDefault="00AA558C">
      <w:pPr>
        <w:jc w:val="both"/>
        <w:rPr>
          <w:rFonts w:ascii="Bookman Old Style" w:eastAsia="Montserrat" w:hAnsi="Bookman Old Style" w:cs="Montserrat"/>
        </w:rPr>
      </w:pPr>
    </w:p>
    <w:p w:rsidR="00AA558C" w:rsidRPr="00AF1292" w:rsidRDefault="005A0A26">
      <w:pPr>
        <w:numPr>
          <w:ilvl w:val="0"/>
          <w:numId w:val="2"/>
        </w:numPr>
        <w:jc w:val="both"/>
        <w:rPr>
          <w:rFonts w:ascii="Bookman Old Style" w:eastAsia="Montserrat" w:hAnsi="Bookman Old Style" w:cs="Montserrat"/>
          <w:b/>
        </w:rPr>
      </w:pPr>
      <w:r w:rsidRPr="00AF1292">
        <w:rPr>
          <w:rFonts w:ascii="Bookman Old Style" w:eastAsia="Montserrat" w:hAnsi="Bookman Old Style" w:cs="Montserrat"/>
          <w:b/>
        </w:rPr>
        <w:t>Objeto del Proyecto de Ley</w:t>
      </w:r>
    </w:p>
    <w:p w:rsidR="00AA558C" w:rsidRPr="00AF1292" w:rsidRDefault="00AA558C">
      <w:pPr>
        <w:jc w:val="both"/>
        <w:rPr>
          <w:rFonts w:ascii="Bookman Old Style" w:eastAsia="Montserrat" w:hAnsi="Bookman Old Style" w:cs="Montserrat"/>
          <w:b/>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El presente proyecto de ley tiene por objeto modificar y establecer un agravante al artículo 296 de la Ley 599 del 2000 - Código Penal Colombiano -  referente al delito de falsedad personal para la modalidad de suplantación utilizando Inteligencia </w:t>
      </w:r>
      <w:r w:rsidR="009F5703" w:rsidRPr="00AF1292">
        <w:rPr>
          <w:rFonts w:ascii="Bookman Old Style" w:eastAsia="Montserrat" w:hAnsi="Bookman Old Style" w:cs="Montserrat"/>
        </w:rPr>
        <w:t>Artificial y</w:t>
      </w:r>
      <w:r w:rsidRPr="00AF1292">
        <w:rPr>
          <w:rFonts w:ascii="Bookman Old Style" w:eastAsia="Montserrat" w:hAnsi="Bookman Old Style" w:cs="Montserrat"/>
        </w:rPr>
        <w:t xml:space="preserve"> dictar otras disposiciones.</w:t>
      </w:r>
    </w:p>
    <w:p w:rsidR="00AA558C" w:rsidRPr="00AF1292" w:rsidRDefault="00AA558C">
      <w:pPr>
        <w:jc w:val="both"/>
        <w:rPr>
          <w:rFonts w:ascii="Bookman Old Style" w:eastAsia="Montserrat" w:hAnsi="Bookman Old Style" w:cs="Montserrat"/>
        </w:rPr>
      </w:pPr>
    </w:p>
    <w:p w:rsidR="00AA558C" w:rsidRPr="00AF1292" w:rsidRDefault="005A0A26">
      <w:pPr>
        <w:numPr>
          <w:ilvl w:val="0"/>
          <w:numId w:val="2"/>
        </w:numPr>
        <w:jc w:val="both"/>
        <w:rPr>
          <w:rFonts w:ascii="Bookman Old Style" w:eastAsia="Montserrat" w:hAnsi="Bookman Old Style" w:cs="Montserrat"/>
          <w:b/>
        </w:rPr>
      </w:pPr>
      <w:r w:rsidRPr="00AF1292">
        <w:rPr>
          <w:rFonts w:ascii="Bookman Old Style" w:eastAsia="Montserrat" w:hAnsi="Bookman Old Style" w:cs="Montserrat"/>
          <w:b/>
        </w:rPr>
        <w:t>Exposición de Motivos</w:t>
      </w:r>
    </w:p>
    <w:p w:rsidR="00AA558C" w:rsidRPr="00AF1292" w:rsidRDefault="00AA558C">
      <w:pPr>
        <w:jc w:val="both"/>
        <w:rPr>
          <w:rFonts w:ascii="Bookman Old Style" w:eastAsia="Montserrat" w:hAnsi="Bookman Old Style" w:cs="Montserrat"/>
          <w:b/>
        </w:rPr>
      </w:pPr>
    </w:p>
    <w:p w:rsidR="00AA558C" w:rsidRPr="00AF1292" w:rsidRDefault="005A0A26">
      <w:pPr>
        <w:numPr>
          <w:ilvl w:val="0"/>
          <w:numId w:val="4"/>
        </w:numPr>
        <w:jc w:val="both"/>
        <w:rPr>
          <w:rFonts w:ascii="Bookman Old Style" w:eastAsia="Montserrat" w:hAnsi="Bookman Old Style" w:cs="Montserrat"/>
          <w:b/>
        </w:rPr>
      </w:pPr>
      <w:r w:rsidRPr="00AF1292">
        <w:rPr>
          <w:rFonts w:ascii="Bookman Old Style" w:eastAsia="Montserrat" w:hAnsi="Bookman Old Style" w:cs="Montserrat"/>
          <w:b/>
        </w:rPr>
        <w:t>Aspectos generales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La agravación del tipo penal de falsedad personal, a </w:t>
      </w:r>
      <w:r w:rsidR="009F5703" w:rsidRPr="00AF1292">
        <w:rPr>
          <w:rFonts w:ascii="Bookman Old Style" w:eastAsia="Montserrat" w:hAnsi="Bookman Old Style" w:cs="Montserrat"/>
        </w:rPr>
        <w:t>través de</w:t>
      </w:r>
      <w:r w:rsidRPr="00AF1292">
        <w:rPr>
          <w:rFonts w:ascii="Bookman Old Style" w:eastAsia="Montserrat" w:hAnsi="Bookman Old Style" w:cs="Montserrat"/>
        </w:rPr>
        <w:t xml:space="preserve"> Inteligencia Artificial, se fundamenta en la necesidad de adaptar el marco legal a los avances tecnológicos y proteger los derechos individuales que se vean afectados y vulnerados en el entorno digital. La manera en la que el derecho debe afrontar múltiples escenarios negativos frente al uso de estas tecnologías.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La Inteligencia Artificial ha evolucionado rápidamente y se han convertido en una herramienta poderosa que puede ser utilizada para cometer actos ilícitos, incluida la suplantación de identidad y la manipulación de datos personales.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Lo anterior se realiza por medio de una figura tecnológica denominada “Redes Generativas Adversariales”, las cuales permiten la creación de contenido audiovisual de forma hiperrealista y casi instantánea de contenido digital de alta calidad.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Las técnicas para alterar la voz, el rostro y otros rasgos característicos de la personalidad de un personaje célebre o influyente que busque alterar o distorsionar la realidad genera distintos cuestionamientos a nivel jurídico y penal.</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La falsedad personal a través de inteligencia artificial representa una amenaza para la integridad de las personas y la confianza en los sistemas digitales y al no estar prohibido el uso de este tipo de IA en ordenamientos jurídicos como el colombiano, termina por permitirse la continuidad de este tipo de hechos.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La simulación de identidades a través de Inteligencia Artificial puede utilizarse para cometer fraudes, difundir desinformación o dañar la reputación de los individuos. Por lo tanto, es necesario establecer medidas legales que disuadan y sancionen este tipo de conductas. La modificación del artículo 296 de la Ley 599 del 2000, Código Penal, busca garantizar la protección de la identidad y de la </w:t>
      </w:r>
      <w:r w:rsidR="009F5703" w:rsidRPr="00AF1292">
        <w:rPr>
          <w:rFonts w:ascii="Bookman Old Style" w:eastAsia="Montserrat" w:hAnsi="Bookman Old Style" w:cs="Montserrat"/>
        </w:rPr>
        <w:t>fe pública y</w:t>
      </w:r>
      <w:r w:rsidRPr="00AF1292">
        <w:rPr>
          <w:rFonts w:ascii="Bookman Old Style" w:eastAsia="Montserrat" w:hAnsi="Bookman Old Style" w:cs="Montserrat"/>
        </w:rPr>
        <w:t xml:space="preserve"> en el entorno digital, estableciendo sanciones proporcionales a la gravedad de los actos cometidos.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La Inteligencia artificial, en los últimos años, se ha convertido en un tema trascendental en el orden mundial. Los rápidos avances en la implementación de esta tecnología ha puesto a los países a discutir sobre su regulación y alcance. La Unión Europea ha tomado la iniciativa en la regulación ética y jurídica de la inteligencia artificial. En Latinoamérica, Colombia es uno de los pioneros en crear un marco ético para la regulación de la IA, el cual se denomina “Marco ético para la inteligencia artificial en Colombia.” Pero aún no se ha establecido un marco jurídico </w:t>
      </w:r>
      <w:r w:rsidRPr="00AF1292">
        <w:rPr>
          <w:rFonts w:ascii="Bookman Old Style" w:eastAsia="Montserrat" w:hAnsi="Bookman Old Style" w:cs="Montserrat"/>
        </w:rPr>
        <w:lastRenderedPageBreak/>
        <w:t>que tipifique las posibles conductas delictivas que se lleven a cabo con los recientes avances de la Inteligencia artificial.</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La Oficina Europea de Policía (EUROPOL), que se encarga de planificar, coordinar y ejecutar las operaciones contra organizaciones criminales en la Unión Europea, ha revelado estudios que evidencian algunas utilizaciones de Inteligencia Artificial (IA)generativa que pueden fomentar, facilitar o mejorar la comisión de determinados tipos delictivos. Entre ellos, se destacan los deepfakes o videos falsos que buscan suplantar o reemplazar a otras personas. Es decir, con este tipo de tecnología se puede conseguir mostrar de forma convincente a personas que existen, han existido o que nunca existieron, haciendo y/o diciendo cosas que nunca hicieron y/o dijeron (Europol Innovation Lab, </w:t>
      </w:r>
      <w:r w:rsidRPr="00AF1292">
        <w:rPr>
          <w:rFonts w:ascii="Bookman Old Style" w:eastAsia="Montserrat" w:hAnsi="Bookman Old Style" w:cs="Montserrat"/>
          <w:highlight w:val="white"/>
        </w:rPr>
        <w:t>2022</w:t>
      </w:r>
      <w:r w:rsidRPr="00AF1292">
        <w:rPr>
          <w:rFonts w:ascii="Bookman Old Style" w:eastAsia="Montserrat" w:hAnsi="Bookman Old Style" w:cs="Montserrat"/>
        </w:rPr>
        <w:t>)</w:t>
      </w:r>
      <w:r w:rsidRPr="00AF1292">
        <w:rPr>
          <w:rFonts w:ascii="Bookman Old Style" w:eastAsia="Montserrat" w:hAnsi="Bookman Old Style" w:cs="Montserrat"/>
          <w:vertAlign w:val="superscript"/>
        </w:rPr>
        <w:footnoteReference w:id="1"/>
      </w:r>
      <w:r w:rsidRPr="00AF1292">
        <w:rPr>
          <w:rFonts w:ascii="Bookman Old Style" w:eastAsia="Montserrat" w:hAnsi="Bookman Old Style" w:cs="Montserrat"/>
        </w:rPr>
        <w:t>.</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El Instituto Interregional de las Naciones Unidas para Investigaciones sobre la Delincuencia y la Justicia también ha advertido que el desarrollo y la evolución de esta tecnología dificulta que los seres humanos llevemos a cabo la diferenciación de este tipo de contenido artificial o simulado, con respecto a los auténticos y originales. (Trend Micro Research, United Nations Interregional Crime and Justice Research Institute (UNICRI) and Europol’s European Cybercrime Centre (EC3),</w:t>
      </w:r>
      <w:r w:rsidRPr="00AF1292">
        <w:rPr>
          <w:rFonts w:ascii="Bookman Old Style" w:eastAsia="Montserrat" w:hAnsi="Bookman Old Style" w:cs="Montserrat"/>
          <w:highlight w:val="white"/>
        </w:rPr>
        <w:t xml:space="preserve"> 2020</w:t>
      </w:r>
      <w:r w:rsidRPr="00AF1292">
        <w:rPr>
          <w:rFonts w:ascii="Bookman Old Style" w:eastAsia="Montserrat" w:hAnsi="Bookman Old Style" w:cs="Montserrat"/>
        </w:rPr>
        <w:t>).</w:t>
      </w:r>
      <w:r w:rsidRPr="00AF1292">
        <w:rPr>
          <w:rFonts w:ascii="Bookman Old Style" w:eastAsia="Montserrat" w:hAnsi="Bookman Old Style" w:cs="Montserrat"/>
          <w:vertAlign w:val="superscript"/>
        </w:rPr>
        <w:footnoteReference w:id="2"/>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En casos </w:t>
      </w:r>
      <w:r w:rsidR="009F5703" w:rsidRPr="00AF1292">
        <w:rPr>
          <w:rFonts w:ascii="Bookman Old Style" w:eastAsia="Montserrat" w:hAnsi="Bookman Old Style" w:cs="Montserrat"/>
        </w:rPr>
        <w:t>concretos, en</w:t>
      </w:r>
      <w:r w:rsidRPr="00AF1292">
        <w:rPr>
          <w:rFonts w:ascii="Bookman Old Style" w:eastAsia="Montserrat" w:hAnsi="Bookman Old Style" w:cs="Montserrat"/>
        </w:rPr>
        <w:t xml:space="preserve"> Colombia, circuló un video falso en redes sociales, creado a través de Inteligencia Artificial, del futbolista Luis Díaz, cuya imagen y voz fueron manipulados para suplantar su identidad y promocionar un supuesto servicio de ayuda financiera. Recientemente, el H. Senador Iván Name Vásquez, fue suplantado en su identidad a través de la utilización de Inteligencia Artificial, aparentemente con el objetivo de realizar una estafa.</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La utilización de Inteligencia Artificial con fines maliciosos como los DeepFake, puede destruir la imagen y la credibilidad personal; acosar o humillar a personas en línea; perpetrar extorsión y fraude; falsificar documentos de identidad; suplantar identidades en línea; falsificar y manipular pruebas electrónicas; distribuir desinformación; entre otros.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En resumen, la agravación </w:t>
      </w:r>
      <w:r w:rsidR="009F5703" w:rsidRPr="00AF1292">
        <w:rPr>
          <w:rFonts w:ascii="Bookman Old Style" w:eastAsia="Montserrat" w:hAnsi="Bookman Old Style" w:cs="Montserrat"/>
        </w:rPr>
        <w:t>punitiva de</w:t>
      </w:r>
      <w:r w:rsidRPr="00AF1292">
        <w:rPr>
          <w:rFonts w:ascii="Bookman Old Style" w:eastAsia="Montserrat" w:hAnsi="Bookman Old Style" w:cs="Montserrat"/>
        </w:rPr>
        <w:t xml:space="preserve"> la falsedad personal a través de inteligencia artificial tiene como objetivo proteger los derechos individuales, promover la confianza en los sistemas digitales y establecer un marco legal que regule el uso adecuado de la IA en beneficio de la sociedad y </w:t>
      </w:r>
      <w:r w:rsidR="009F5703" w:rsidRPr="00AF1292">
        <w:rPr>
          <w:rFonts w:ascii="Bookman Old Style" w:eastAsia="Montserrat" w:hAnsi="Bookman Old Style" w:cs="Montserrat"/>
        </w:rPr>
        <w:t>la fe</w:t>
      </w:r>
      <w:r w:rsidRPr="00AF1292">
        <w:rPr>
          <w:rFonts w:ascii="Bookman Old Style" w:eastAsia="Montserrat" w:hAnsi="Bookman Old Style" w:cs="Montserrat"/>
        </w:rPr>
        <w:t xml:space="preserve"> pública.</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t>Naturaleza jurídica del delito de suplantación de identidad a través de la Inteligencia artificial</w:t>
      </w:r>
    </w:p>
    <w:p w:rsidR="00AA558C" w:rsidRPr="00AF1292" w:rsidRDefault="00AA558C">
      <w:pPr>
        <w:jc w:val="both"/>
        <w:rPr>
          <w:rFonts w:ascii="Bookman Old Style" w:eastAsia="Montserrat" w:hAnsi="Bookman Old Style" w:cs="Montserrat"/>
          <w:b/>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lastRenderedPageBreak/>
        <w:t>La agravación punitiva del tipo penal de falsedad personal a través de la IA, protege el derecho fundamental la integridad personal, comprendiendo la esfera física, moral y ética de la persona, igualmente, protege el bien jurídico de la fe pública.</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color w:val="0D0D0D"/>
          <w:highlight w:val="white"/>
        </w:rPr>
      </w:pPr>
      <w:r w:rsidRPr="00AF1292">
        <w:rPr>
          <w:rFonts w:ascii="Bookman Old Style" w:eastAsia="Montserrat" w:hAnsi="Bookman Old Style" w:cs="Montserrat"/>
          <w:color w:val="0D0D0D"/>
          <w:highlight w:val="white"/>
        </w:rPr>
        <w:t>El bien jurídico de la fe pública, se podría ver afectado cuando personas con motivaciones podrían publicar vídeos, imágenes falsificadas de funcionarios electos u otras figuras públicas haciendo comentarios dañinos o comportándose de manera inapropiada. Esta acción podría erosionar la confianza pública, afectar negativamente el discurso público.</w:t>
      </w:r>
    </w:p>
    <w:p w:rsidR="00AA558C" w:rsidRPr="00AF1292" w:rsidRDefault="00AA558C">
      <w:pPr>
        <w:jc w:val="both"/>
        <w:rPr>
          <w:rFonts w:ascii="Bookman Old Style" w:eastAsia="Montserrat" w:hAnsi="Bookman Old Style" w:cs="Montserrat"/>
          <w:color w:val="0D0D0D"/>
          <w:highlight w:val="white"/>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La imagen o identidad física, pueden ser vulnerados al ser suplantados a través de la utilización de medios multimedia con la finalidad de causar daño, perjuicio u obtener un beneficio propio.</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La Corte Constitucional, a través de la sentencia </w:t>
      </w:r>
      <w:r w:rsidRPr="00AF1292">
        <w:rPr>
          <w:rFonts w:ascii="Bookman Old Style" w:eastAsia="Montserrat" w:hAnsi="Bookman Old Style" w:cs="Montserrat"/>
          <w:highlight w:val="white"/>
        </w:rPr>
        <w:t>T-634-13</w:t>
      </w:r>
      <w:r w:rsidRPr="00AF1292">
        <w:rPr>
          <w:rFonts w:ascii="Bookman Old Style" w:eastAsia="Montserrat" w:hAnsi="Bookman Old Style" w:cs="Montserrat"/>
          <w:highlight w:val="white"/>
          <w:vertAlign w:val="superscript"/>
        </w:rPr>
        <w:footnoteReference w:id="3"/>
      </w:r>
      <w:r w:rsidRPr="00AF1292">
        <w:rPr>
          <w:rFonts w:ascii="Bookman Old Style" w:eastAsia="Montserrat" w:hAnsi="Bookman Old Style" w:cs="Montserrat"/>
        </w:rPr>
        <w:t>, definió el derecho a la propia imagen, la cual comprende diversos aspectos como: (i) la necesidad de consentimiento para su utilización, (ii) constituye una garantía para la  propia imagen como expresión directa de la individualidad e identidad de las personas, (iii) constituye una garantía de protección de raigambre constitucional para que las características externas que conforman las manifestaciones y expresiones externas de la individualidad corporal no puedan ser objeto de libre e injustificada disposición y manipulación de terceros, (iv) es un derecho autónomo que puede ser lesionado junto con los derechos a la intimidad, a la honra, al buen nombre de su titular, y cuyo ejercicio está estrechamente vinculado a la dignidad y libertad de la persona, (v) implica la garantía del manejo sobre la propia imagen cuyo ejercicio se traduce en una manifestación de la autodeterminación de las personas, y (vi) exige que las autorizaciones otorgadas para el uso de la propia imagen en el marco de la libertad en las relaciones contractuales no sean entendidas como una renuncia al derecho mismo.</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t xml:space="preserve">Justificación del agravante de la falsedad personal y el establecimiento de una multa. </w:t>
      </w:r>
    </w:p>
    <w:p w:rsidR="00AA558C" w:rsidRPr="00AF1292" w:rsidRDefault="00AA558C">
      <w:pPr>
        <w:jc w:val="both"/>
        <w:rPr>
          <w:rFonts w:ascii="Bookman Old Style" w:eastAsia="Montserrat" w:hAnsi="Bookman Old Style" w:cs="Montserrat"/>
          <w:b/>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Aumentar la multa en lugar de imponer una pena privativa de la libertad refleja una respuesta legal proporcionada al delito, considerando que la finalidad principal de la sanción es disuadir y compensar el daño causado sin recurrir a la privación de la libertad, que es una medida más drástica y severa.</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Una multa, especialmente una aumentada en una tercera parte, puede ser una herramienta efectiva para enfocar la sanción en la reparación del daño causado a la víctima. El objetivo de la sanción monetaria es garantizar que el infractor pague una compensación por el daño infligido, lo cual es particularmente relevante en delitos como la suplantación de identidad, donde el perjuicio suele ser económico y reputacional.</w:t>
      </w:r>
    </w:p>
    <w:p w:rsidR="00AA558C" w:rsidRPr="00AF1292" w:rsidRDefault="00AA558C">
      <w:pPr>
        <w:jc w:val="both"/>
        <w:rPr>
          <w:rFonts w:ascii="Bookman Old Style" w:eastAsia="Montserrat" w:hAnsi="Bookman Old Style" w:cs="Montserrat"/>
        </w:rPr>
      </w:pP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t>Regulación de la IA en el mundo</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Los debates públicos tendientes a la regulación de la IA se han empezado a generar en varias latitudes del mundo, tal es el caso de las iniciativas legislativas en Chile que han pretendido regular diversos aspectos de la IA, incluso con la modificación del Código Penal a fin de sancionar su mal uso con relación a los tipos penales de estafa cometidos con su utilización (Biblioteca del Congreso Nacional de Chile - BCN, julio de 2023)</w:t>
      </w:r>
      <w:r w:rsidRPr="00AF1292">
        <w:rPr>
          <w:rFonts w:ascii="Bookman Old Style" w:eastAsia="Montserrat" w:hAnsi="Bookman Old Style" w:cs="Montserrat"/>
          <w:vertAlign w:val="superscript"/>
        </w:rPr>
        <w:footnoteReference w:id="4"/>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Por su parte, Estados Unidos y China si bien no han aprobado leyes que regulen de manera general la IA, si han integrado iniciativas muy valiosas sobre la materia, con relación a la generación del debate público centrado en torno a los implicados directamente en estas nuevas inteligencias, con efectos directos en la sociedad y en la economía (BCN, julio de 2023).</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Entre las regulaciones a nivel federal emprendidas en Estados Unidos en torno a la IA, se destaca la Ley de Iniciativa Nacional de Inteligencia Artificial de 2020, cuyo fin era acelerar la investigación y aplicación de la IA para el avance económico y la seguridad nacional; Proyecto de Ley de Responsabilidad Algorítmica presentada en 2019 y 2022, para hacer frente a los riesgos sociales, éticos y legales que la IA </w:t>
      </w:r>
      <w:r w:rsidR="009F5703" w:rsidRPr="00AF1292">
        <w:rPr>
          <w:rFonts w:ascii="Bookman Old Style" w:eastAsia="Montserrat" w:hAnsi="Bookman Old Style" w:cs="Montserrat"/>
        </w:rPr>
        <w:t>conlleva (</w:t>
      </w:r>
      <w:r w:rsidRPr="00AF1292">
        <w:rPr>
          <w:rFonts w:ascii="Bookman Old Style" w:eastAsia="Montserrat" w:hAnsi="Bookman Old Style" w:cs="Montserrat"/>
        </w:rPr>
        <w:t>BCN, julio de 2023).</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En lo que a China respecta, se han presentado tres regulaciones sectoriales sobre IA desde 2021, en asuntos relacionados con la regulación de la información generada que contengan noticias falsas, entre otros (BCN, julio de 2023).</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Recientemente, la Unión Europea aprobó la Ley de Inteligencia Artificial, que según el Parlamento Europeo, pretende proteger los derechos fundamentales, la democracia, el Estado de derecho y el medioambiente, frente a los peligros y riesgos que conlleva la IA; al punto de prohibir aplicaciones de IA que atenten contra los derechos de los ciudadanos, entre otros asuntos; procurando en todo caso, el amparo de los derechos de los trabajadores y los ciudadanos en general con un nuevo punto de partida, establecido en la tecnología para las futuras nuevas formas de gobernanza mundial (Parlamento Europeo, 2024).</w:t>
      </w:r>
      <w:r w:rsidRPr="00AF1292">
        <w:rPr>
          <w:rFonts w:ascii="Bookman Old Style" w:eastAsia="Montserrat" w:hAnsi="Bookman Old Style" w:cs="Montserrat"/>
          <w:vertAlign w:val="superscript"/>
        </w:rPr>
        <w:footnoteReference w:id="5"/>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En suma, del análisis de la situación actual que amerita la realización del presente proyecto de ley, es preciso indicar la necesidad de los gobiernos de regular con estamentos normativos en la discusión de la política criminal, la penalización de las acciones de suplantación de identidad en la que se vea involucrada le utilización de la IA.</w:t>
      </w:r>
    </w:p>
    <w:p w:rsidR="00AA558C" w:rsidRPr="00AF1292" w:rsidRDefault="00AA558C">
      <w:pPr>
        <w:jc w:val="both"/>
        <w:rPr>
          <w:rFonts w:ascii="Bookman Old Style" w:eastAsia="Montserrat" w:hAnsi="Bookman Old Style" w:cs="Montserrat"/>
        </w:rPr>
      </w:pP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t>Mesa Técnica Implicaciones de la Inteligencia Artificial</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El día cinco (05) de abril de 2024, se llevó a cabo en la Comisión Primera Constitucional Permanente del Senado de la República, la Mesa Técnica sobre las implicaciones de la IA en Colombia, con la finalidad de escuchar a la academia, a las empresas y a los expertos en el tema, articulando conceptos, ideas, problemáticas y expectativas frente a la regulación o no en el país.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La Mesa Técnica se orientó a través de la pregunta de si la IA debe ser regulada o no; la mayoría de los ponentes, concluyeron en sus intervenciones que la IA no debe regularse de manera estricta o prohibitiva, en tanto, debe permitirse la continuidad de su desarrollo y aplicación, en los diferentes escenarios en que su utilización resulta necesaria para el avance de la tecnología y el bienestar de la comunidad en general.</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A la par, los ponentes también llegaron a la conclusión que de regularse la IA, la misma debería orientarse a la protección y prevención ante el uso dañino o ilegal que perjudique o atente contra los derechos de las personas.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En consecuencia, la presente iniciativa legislativa, pretende extender la guarda de la identidad personal debidamente protegida a través del artículo 296 del Código Penal Colombiano, en el marco preciso del uso indebido de la IA, a cuyo propósito sea utilizada para suplantar o sustituir la identidad de una persona; de allí que, el proyecto de Ley no termina por constituir una regulación estructural, restrictiva o prohibitiva sobre el tema.</w:t>
      </w:r>
    </w:p>
    <w:p w:rsidR="00AA558C" w:rsidRPr="00AF1292" w:rsidRDefault="00AA558C">
      <w:pPr>
        <w:jc w:val="both"/>
        <w:rPr>
          <w:rFonts w:ascii="Bookman Old Style" w:eastAsia="Montserrat" w:hAnsi="Bookman Old Style" w:cs="Montserrat"/>
        </w:rPr>
      </w:pPr>
    </w:p>
    <w:p w:rsidR="00AA558C" w:rsidRPr="00AF1292" w:rsidRDefault="005A0A26">
      <w:pPr>
        <w:numPr>
          <w:ilvl w:val="0"/>
          <w:numId w:val="4"/>
        </w:numPr>
        <w:jc w:val="both"/>
        <w:rPr>
          <w:rFonts w:ascii="Bookman Old Style" w:eastAsia="Montserrat" w:hAnsi="Bookman Old Style" w:cs="Montserrat"/>
          <w:b/>
        </w:rPr>
      </w:pPr>
      <w:r w:rsidRPr="00AF1292">
        <w:rPr>
          <w:rFonts w:ascii="Bookman Old Style" w:eastAsia="Montserrat" w:hAnsi="Bookman Old Style" w:cs="Montserrat"/>
          <w:b/>
        </w:rPr>
        <w:t>Justificación</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El presente proyecto de Ley resulta ser necesario, pertinente y actual, en consideración a la grave situación de suplantación de identidad presentada con la utilización indebida de la Inteligencia </w:t>
      </w:r>
      <w:r w:rsidR="009F5703" w:rsidRPr="00AF1292">
        <w:rPr>
          <w:rFonts w:ascii="Bookman Old Style" w:eastAsia="Montserrat" w:hAnsi="Bookman Old Style" w:cs="Montserrat"/>
        </w:rPr>
        <w:t>Artificial que</w:t>
      </w:r>
      <w:r w:rsidRPr="00AF1292">
        <w:rPr>
          <w:rFonts w:ascii="Bookman Old Style" w:eastAsia="Montserrat" w:hAnsi="Bookman Old Style" w:cs="Montserrat"/>
        </w:rPr>
        <w:t xml:space="preserve"> va en contraposición a la garantía de los derechos individuales, en el marco de la promoción de la confianza en los nuevos sistemas digitales e informáticos que la tecnología apareja.</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En consecuencia, existe una latente necesidad de emprender acciones y herramientas jurídicas que habiliten la imposición de una pena ante la comisión de un delito que atenta de forma flagrante en contra de la identidad personal, </w:t>
      </w:r>
      <w:r w:rsidR="009F5703" w:rsidRPr="00AF1292">
        <w:rPr>
          <w:rFonts w:ascii="Bookman Old Style" w:eastAsia="Montserrat" w:hAnsi="Bookman Old Style" w:cs="Montserrat"/>
        </w:rPr>
        <w:t>que,</w:t>
      </w:r>
      <w:r w:rsidRPr="00AF1292">
        <w:rPr>
          <w:rFonts w:ascii="Bookman Old Style" w:eastAsia="Montserrat" w:hAnsi="Bookman Old Style" w:cs="Montserrat"/>
        </w:rPr>
        <w:t xml:space="preserve"> en escenarios de la IA, resultan por ser suplantados.</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El contexto de regulación de la </w:t>
      </w:r>
      <w:r w:rsidR="009F5703" w:rsidRPr="00AF1292">
        <w:rPr>
          <w:rFonts w:ascii="Bookman Old Style" w:eastAsia="Montserrat" w:hAnsi="Bookman Old Style" w:cs="Montserrat"/>
        </w:rPr>
        <w:t>IA,</w:t>
      </w:r>
      <w:r w:rsidRPr="00AF1292">
        <w:rPr>
          <w:rFonts w:ascii="Bookman Old Style" w:eastAsia="Montserrat" w:hAnsi="Bookman Old Style" w:cs="Montserrat"/>
        </w:rPr>
        <w:t xml:space="preserve"> por tanto, desde el conjunto de normas jurídicas en el escenario delictivo, no desplaza las disposiciones que en derecho corresponda su realización y trámite en la Rama Legislativa, en observancia del desarrollo tecnológico y a las dinámicas sociales en torno a la IA.</w:t>
      </w:r>
    </w:p>
    <w:p w:rsidR="00AA558C" w:rsidRPr="00AF1292" w:rsidRDefault="00AA558C">
      <w:pPr>
        <w:jc w:val="both"/>
        <w:rPr>
          <w:rFonts w:ascii="Bookman Old Style" w:eastAsia="Montserrat" w:hAnsi="Bookman Old Style" w:cs="Montserrat"/>
        </w:rPr>
      </w:pPr>
    </w:p>
    <w:p w:rsidR="00AA558C" w:rsidRPr="00AF1292" w:rsidRDefault="005A0A26">
      <w:pPr>
        <w:numPr>
          <w:ilvl w:val="0"/>
          <w:numId w:val="4"/>
        </w:numPr>
        <w:jc w:val="both"/>
        <w:rPr>
          <w:rFonts w:ascii="Bookman Old Style" w:eastAsia="Montserrat" w:hAnsi="Bookman Old Style" w:cs="Montserrat"/>
          <w:b/>
        </w:rPr>
      </w:pPr>
      <w:r w:rsidRPr="00AF1292">
        <w:rPr>
          <w:rFonts w:ascii="Bookman Old Style" w:eastAsia="Montserrat" w:hAnsi="Bookman Old Style" w:cs="Montserrat"/>
          <w:b/>
        </w:rPr>
        <w:t>Impacto fiscal</w:t>
      </w:r>
    </w:p>
    <w:p w:rsidR="00AA558C" w:rsidRPr="00AF1292" w:rsidRDefault="00AA558C">
      <w:pPr>
        <w:jc w:val="both"/>
        <w:rPr>
          <w:rFonts w:ascii="Bookman Old Style" w:eastAsia="Montserrat" w:hAnsi="Bookman Old Style" w:cs="Montserrat"/>
          <w:b/>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Sobre el contenido y alcance de la previsión del impacto fiscal en los proyectos de ley la Honorable Corte Constitucional ha precisado: “Las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(i) el Congreso carece de las instancias de evaluación técnica para determinar el impacto fiscal de cada proyecto, la determinación de las fuentes adicionales de financiación y la compatibilidad con el marco fiscal de mediano plazo.</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w:t>
      </w:r>
    </w:p>
    <w:p w:rsidR="00AA558C" w:rsidRPr="00AF1292" w:rsidRDefault="00AA558C">
      <w:pPr>
        <w:rPr>
          <w:rFonts w:ascii="Bookman Old Style" w:eastAsia="Montserrat" w:hAnsi="Bookman Old Style" w:cs="Montserrat"/>
          <w:b/>
        </w:rPr>
      </w:pPr>
    </w:p>
    <w:p w:rsidR="00AA558C" w:rsidRPr="00AF1292" w:rsidRDefault="00AA558C">
      <w:pPr>
        <w:rPr>
          <w:rFonts w:ascii="Bookman Old Style" w:eastAsia="Montserrat" w:hAnsi="Bookman Old Style" w:cs="Montserrat"/>
          <w:b/>
        </w:rPr>
      </w:pPr>
    </w:p>
    <w:p w:rsidR="00AA558C" w:rsidRPr="00AF1292" w:rsidRDefault="005A0A26">
      <w:pPr>
        <w:numPr>
          <w:ilvl w:val="0"/>
          <w:numId w:val="1"/>
        </w:numPr>
        <w:rPr>
          <w:rFonts w:ascii="Bookman Old Style" w:eastAsia="Montserrat" w:hAnsi="Bookman Old Style" w:cs="Montserrat"/>
          <w:b/>
        </w:rPr>
      </w:pPr>
      <w:r w:rsidRPr="00AF1292">
        <w:rPr>
          <w:rFonts w:ascii="Bookman Old Style" w:eastAsia="Montserrat" w:hAnsi="Bookman Old Style" w:cs="Montserrat"/>
          <w:b/>
        </w:rPr>
        <w:t>Pliego de Modificaciones</w:t>
      </w:r>
    </w:p>
    <w:p w:rsidR="00AA558C" w:rsidRPr="00AF1292" w:rsidRDefault="00AA558C">
      <w:pPr>
        <w:ind w:left="720"/>
        <w:rPr>
          <w:rFonts w:ascii="Bookman Old Style" w:eastAsia="Montserrat" w:hAnsi="Bookman Old Style" w:cs="Montserrat"/>
          <w:b/>
        </w:rPr>
      </w:pPr>
    </w:p>
    <w:tbl>
      <w:tblPr>
        <w:tblStyle w:val="a"/>
        <w:tblW w:w="85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25"/>
        <w:gridCol w:w="2670"/>
      </w:tblGrid>
      <w:tr w:rsidR="00AA558C" w:rsidRPr="00AF1292">
        <w:tc>
          <w:tcPr>
            <w:tcW w:w="2940" w:type="dxa"/>
            <w:shd w:val="clear" w:color="auto" w:fill="auto"/>
            <w:tcMar>
              <w:top w:w="100" w:type="dxa"/>
              <w:left w:w="100" w:type="dxa"/>
              <w:bottom w:w="100" w:type="dxa"/>
              <w:right w:w="100" w:type="dxa"/>
            </w:tcMar>
          </w:tcPr>
          <w:p w:rsidR="00AA558C" w:rsidRPr="00AF1292" w:rsidRDefault="005A0A26">
            <w:pPr>
              <w:widowControl w:val="0"/>
              <w:rPr>
                <w:rFonts w:ascii="Bookman Old Style" w:eastAsia="Montserrat" w:hAnsi="Bookman Old Style" w:cs="Montserrat"/>
                <w:b/>
              </w:rPr>
            </w:pPr>
            <w:r w:rsidRPr="00AF1292">
              <w:rPr>
                <w:rFonts w:ascii="Bookman Old Style" w:eastAsia="Montserrat" w:hAnsi="Bookman Old Style" w:cs="Montserrat"/>
                <w:b/>
              </w:rPr>
              <w:t xml:space="preserve">Texto Propuesto para Segundo Debate. </w:t>
            </w:r>
          </w:p>
        </w:tc>
        <w:tc>
          <w:tcPr>
            <w:tcW w:w="2925" w:type="dxa"/>
            <w:shd w:val="clear" w:color="auto" w:fill="auto"/>
            <w:tcMar>
              <w:top w:w="100" w:type="dxa"/>
              <w:left w:w="100" w:type="dxa"/>
              <w:bottom w:w="100" w:type="dxa"/>
              <w:right w:w="100" w:type="dxa"/>
            </w:tcMar>
          </w:tcPr>
          <w:p w:rsidR="00AA558C" w:rsidRPr="00AF1292" w:rsidRDefault="005A0A26">
            <w:pPr>
              <w:widowControl w:val="0"/>
              <w:rPr>
                <w:rFonts w:ascii="Bookman Old Style" w:eastAsia="Montserrat" w:hAnsi="Bookman Old Style" w:cs="Montserrat"/>
                <w:b/>
              </w:rPr>
            </w:pPr>
            <w:r w:rsidRPr="00AF1292">
              <w:rPr>
                <w:rFonts w:ascii="Bookman Old Style" w:eastAsia="Montserrat" w:hAnsi="Bookman Old Style" w:cs="Montserrat"/>
                <w:b/>
              </w:rPr>
              <w:t xml:space="preserve">Texto Propuesto para Tercer Debate </w:t>
            </w:r>
          </w:p>
        </w:tc>
        <w:tc>
          <w:tcPr>
            <w:tcW w:w="2670" w:type="dxa"/>
            <w:shd w:val="clear" w:color="auto" w:fill="auto"/>
            <w:tcMar>
              <w:top w:w="100" w:type="dxa"/>
              <w:left w:w="100" w:type="dxa"/>
              <w:bottom w:w="100" w:type="dxa"/>
              <w:right w:w="100" w:type="dxa"/>
            </w:tcMar>
          </w:tcPr>
          <w:p w:rsidR="00AA558C" w:rsidRPr="00AF1292" w:rsidRDefault="005A0A26">
            <w:pPr>
              <w:widowControl w:val="0"/>
              <w:rPr>
                <w:rFonts w:ascii="Bookman Old Style" w:eastAsia="Montserrat" w:hAnsi="Bookman Old Style" w:cs="Montserrat"/>
                <w:b/>
              </w:rPr>
            </w:pPr>
            <w:r w:rsidRPr="00AF1292">
              <w:rPr>
                <w:rFonts w:ascii="Bookman Old Style" w:eastAsia="Montserrat" w:hAnsi="Bookman Old Style" w:cs="Montserrat"/>
                <w:b/>
              </w:rPr>
              <w:t xml:space="preserve">FUNDAMENTOS </w:t>
            </w:r>
          </w:p>
        </w:tc>
      </w:tr>
      <w:tr w:rsidR="00AA558C" w:rsidRPr="00AF1292">
        <w:tc>
          <w:tcPr>
            <w:tcW w:w="294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t xml:space="preserve">Artículo 1: Objeto. </w:t>
            </w:r>
            <w:r w:rsidRPr="00AF1292">
              <w:rPr>
                <w:rFonts w:ascii="Bookman Old Style" w:eastAsia="Montserrat" w:hAnsi="Bookman Old Style" w:cs="Montserrat"/>
              </w:rPr>
              <w:t xml:space="preserve">La presente Ley tiene por objeto modificar y establecer un agravante al artículo 296 de la Ley 599 del 2000 - Código </w:t>
            </w:r>
            <w:r w:rsidRPr="00AF1292">
              <w:rPr>
                <w:rFonts w:ascii="Bookman Old Style" w:eastAsia="Montserrat" w:hAnsi="Bookman Old Style" w:cs="Montserrat"/>
              </w:rPr>
              <w:lastRenderedPageBreak/>
              <w:t>Penal Colombiano -  referente al delito de falsedad personal para la modalidad de suplantación utilizando sistemas de Inteligencia Artificial  –IA-</w:t>
            </w:r>
          </w:p>
        </w:tc>
        <w:tc>
          <w:tcPr>
            <w:tcW w:w="2925"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lastRenderedPageBreak/>
              <w:t xml:space="preserve">Artículo 1: Objeto. </w:t>
            </w:r>
            <w:r w:rsidRPr="00AF1292">
              <w:rPr>
                <w:rFonts w:ascii="Bookman Old Style" w:eastAsia="Montserrat" w:hAnsi="Bookman Old Style" w:cs="Montserrat"/>
              </w:rPr>
              <w:t xml:space="preserve">La presente Ley tiene por objeto modificar y establecer un agravante al artículo 296 de la Ley 599 del 2000 - Código </w:t>
            </w:r>
            <w:r w:rsidRPr="00AF1292">
              <w:rPr>
                <w:rFonts w:ascii="Bookman Old Style" w:eastAsia="Montserrat" w:hAnsi="Bookman Old Style" w:cs="Montserrat"/>
              </w:rPr>
              <w:lastRenderedPageBreak/>
              <w:t xml:space="preserve">Penal Colombiano -  referente al delito de falsedad personal para la modalidad de suplantación utilizando </w:t>
            </w:r>
            <w:r w:rsidRPr="00AF1292">
              <w:rPr>
                <w:rFonts w:ascii="Bookman Old Style" w:eastAsia="Montserrat" w:hAnsi="Bookman Old Style" w:cs="Montserrat"/>
                <w:strike/>
              </w:rPr>
              <w:t xml:space="preserve">sistemas de </w:t>
            </w:r>
            <w:r w:rsidRPr="00AF1292">
              <w:rPr>
                <w:rFonts w:ascii="Bookman Old Style" w:eastAsia="Montserrat" w:hAnsi="Bookman Old Style" w:cs="Montserrat"/>
              </w:rPr>
              <w:t>Inteligencia Artificial  –IA-</w:t>
            </w:r>
          </w:p>
        </w:tc>
        <w:tc>
          <w:tcPr>
            <w:tcW w:w="267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lastRenderedPageBreak/>
              <w:t xml:space="preserve">Se elimina la palabra “sistemas de”, con la finalidad de que el término de “Inteligencia Artificial” sea más amplio, </w:t>
            </w:r>
            <w:r w:rsidRPr="00AF1292">
              <w:rPr>
                <w:rFonts w:ascii="Bookman Old Style" w:eastAsia="Montserrat" w:hAnsi="Bookman Old Style" w:cs="Montserrat"/>
              </w:rPr>
              <w:lastRenderedPageBreak/>
              <w:t xml:space="preserve">genérico y menos restrictivo. </w:t>
            </w:r>
          </w:p>
        </w:tc>
      </w:tr>
      <w:tr w:rsidR="00AA558C" w:rsidRPr="00AF1292">
        <w:tc>
          <w:tcPr>
            <w:tcW w:w="294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lastRenderedPageBreak/>
              <w:t>Artículo 2: Definiciones.</w:t>
            </w:r>
          </w:p>
          <w:p w:rsidR="00AA558C" w:rsidRPr="00AF1292" w:rsidRDefault="005A0A26">
            <w:pPr>
              <w:jc w:val="both"/>
              <w:rPr>
                <w:rFonts w:ascii="Bookman Old Style" w:eastAsia="Montserrat" w:hAnsi="Bookman Old Style" w:cs="Montserrat"/>
                <w:color w:val="434343"/>
                <w:highlight w:val="white"/>
              </w:rPr>
            </w:pPr>
            <w:r w:rsidRPr="00AF1292">
              <w:rPr>
                <w:rFonts w:ascii="Bookman Old Style" w:eastAsia="Montserrat" w:hAnsi="Bookman Old Style" w:cs="Montserrat"/>
                <w:color w:val="434343"/>
                <w:highlight w:val="white"/>
              </w:rPr>
              <w:t xml:space="preserve"> Para los efectos de esta ley, se entiende por:</w:t>
            </w:r>
          </w:p>
          <w:p w:rsidR="00AA558C" w:rsidRPr="00AF1292" w:rsidRDefault="00AA558C">
            <w:pPr>
              <w:jc w:val="both"/>
              <w:rPr>
                <w:rFonts w:ascii="Bookman Old Style" w:eastAsia="Montserrat" w:hAnsi="Bookman Old Style" w:cs="Montserrat"/>
                <w:color w:val="434343"/>
                <w:highlight w:val="white"/>
              </w:rPr>
            </w:pPr>
          </w:p>
          <w:p w:rsidR="00AA558C" w:rsidRPr="00AF1292" w:rsidRDefault="005A0A26">
            <w:pPr>
              <w:jc w:val="both"/>
              <w:rPr>
                <w:rFonts w:ascii="Bookman Old Style" w:eastAsia="Montserrat" w:hAnsi="Bookman Old Style" w:cs="Montserrat"/>
                <w:color w:val="434343"/>
                <w:highlight w:val="white"/>
              </w:rPr>
            </w:pPr>
            <w:r w:rsidRPr="00AF1292">
              <w:rPr>
                <w:rFonts w:ascii="Bookman Old Style" w:eastAsia="Montserrat" w:hAnsi="Bookman Old Style" w:cs="Montserrat"/>
                <w:b/>
                <w:color w:val="434343"/>
                <w:highlight w:val="white"/>
              </w:rPr>
              <w:t xml:space="preserve">- Sistemas de Inteligencia Artificial: </w:t>
            </w:r>
            <w:r w:rsidRPr="00AF1292">
              <w:rPr>
                <w:rFonts w:ascii="Bookman Old Style" w:eastAsia="Montserrat" w:hAnsi="Bookman Old Style" w:cs="Montserrat"/>
                <w:color w:val="434343"/>
                <w:highlight w:val="white"/>
              </w:rPr>
              <w:t xml:space="preserve">Sistema basado en una máquina que, para fines explícitos o implícitos, deduce, a partir de los insumos que recibe, cómo generar resultados tales como predicciones, contenidos, recomendaciones o decisiones que pueden influir en entornos físicos o virtuales. Los diferentes sistemas de IA varían en sus niveles de autonomía y adaptabilidad después del despliegue. </w:t>
            </w:r>
          </w:p>
          <w:p w:rsidR="00AA558C" w:rsidRPr="00AF1292" w:rsidRDefault="00AA558C">
            <w:pPr>
              <w:jc w:val="both"/>
              <w:rPr>
                <w:rFonts w:ascii="Bookman Old Style" w:eastAsia="Montserrat" w:hAnsi="Bookman Old Style" w:cs="Montserrat"/>
                <w:color w:val="434343"/>
                <w:highlight w:val="white"/>
              </w:rPr>
            </w:pPr>
          </w:p>
          <w:p w:rsidR="00AA558C" w:rsidRPr="00AF1292" w:rsidRDefault="005A0A26">
            <w:pPr>
              <w:jc w:val="both"/>
              <w:rPr>
                <w:rFonts w:ascii="Bookman Old Style" w:eastAsia="Montserrat" w:hAnsi="Bookman Old Style" w:cs="Montserrat"/>
                <w:color w:val="434343"/>
              </w:rPr>
            </w:pPr>
            <w:r w:rsidRPr="00AF1292">
              <w:rPr>
                <w:rFonts w:ascii="Bookman Old Style" w:eastAsia="Montserrat" w:hAnsi="Bookman Old Style" w:cs="Montserrat"/>
                <w:b/>
                <w:color w:val="434343"/>
              </w:rPr>
              <w:t xml:space="preserve">-  DeepFake: </w:t>
            </w:r>
            <w:r w:rsidRPr="00AF1292">
              <w:rPr>
                <w:rFonts w:ascii="Bookman Old Style" w:eastAsia="Montserrat" w:hAnsi="Bookman Old Style" w:cs="Montserrat"/>
                <w:color w:val="434343"/>
              </w:rPr>
              <w:t xml:space="preserve">Contenido audiovisual (imagen, audio, video) hiperrealista que es falso o engañoso, creado o modificado mediante sistemas de Inteligencia Artificial. </w:t>
            </w:r>
          </w:p>
          <w:p w:rsidR="00AA558C" w:rsidRPr="00AF1292" w:rsidRDefault="00AA558C">
            <w:pPr>
              <w:jc w:val="both"/>
              <w:rPr>
                <w:rFonts w:ascii="Bookman Old Style" w:eastAsia="Montserrat" w:hAnsi="Bookman Old Style" w:cs="Montserrat"/>
                <w:color w:val="434343"/>
              </w:rPr>
            </w:pPr>
          </w:p>
          <w:p w:rsidR="00AA558C" w:rsidRPr="00AF1292" w:rsidRDefault="005A0A26">
            <w:pPr>
              <w:jc w:val="both"/>
              <w:rPr>
                <w:rFonts w:ascii="Bookman Old Style" w:eastAsia="Montserrat" w:hAnsi="Bookman Old Style" w:cs="Montserrat"/>
                <w:color w:val="434343"/>
              </w:rPr>
            </w:pPr>
            <w:r w:rsidRPr="00AF1292">
              <w:rPr>
                <w:rFonts w:ascii="Bookman Old Style" w:eastAsia="Montserrat" w:hAnsi="Bookman Old Style" w:cs="Montserrat"/>
                <w:color w:val="434343"/>
              </w:rPr>
              <w:t xml:space="preserve">El término deepfake proviene de la combinación de las palabras en inglés deep learning (aprendizaje </w:t>
            </w:r>
            <w:r w:rsidRPr="00AF1292">
              <w:rPr>
                <w:rFonts w:ascii="Bookman Old Style" w:eastAsia="Montserrat" w:hAnsi="Bookman Old Style" w:cs="Montserrat"/>
                <w:color w:val="434343"/>
              </w:rPr>
              <w:lastRenderedPageBreak/>
              <w:t>profundo) y fake (falso). Los deepfakes pueden usarse para fines artísticos, educativos, de entretenimiento o de investigación, pero también pueden tener consecuencias negativas para la privacidad, la seguridad, la democracia y la credibilidad de las fuentes de información. Algunos ejemplos de deepfakes son: cambiar el rostro o la voz de una persona en un vídeo, generar una imagen o un audio de alguien que no existe, manipular el movimiento o la expresión facial de una persona, o crear un discurso falso atribuido a una figura pública.</w:t>
            </w:r>
          </w:p>
          <w:p w:rsidR="00AA558C" w:rsidRPr="00AF1292" w:rsidRDefault="00AA558C">
            <w:pPr>
              <w:jc w:val="both"/>
              <w:rPr>
                <w:rFonts w:ascii="Bookman Old Style" w:eastAsia="Montserrat" w:hAnsi="Bookman Old Style" w:cs="Montserrat"/>
                <w:color w:val="434343"/>
              </w:rPr>
            </w:pPr>
          </w:p>
          <w:p w:rsidR="00AA558C" w:rsidRPr="00AF1292" w:rsidRDefault="005A0A26">
            <w:pPr>
              <w:jc w:val="both"/>
              <w:rPr>
                <w:rFonts w:ascii="Bookman Old Style" w:eastAsia="Montserrat" w:hAnsi="Bookman Old Style" w:cs="Montserrat"/>
                <w:color w:val="434343"/>
                <w:highlight w:val="white"/>
              </w:rPr>
            </w:pPr>
            <w:r w:rsidRPr="00AF1292">
              <w:rPr>
                <w:rFonts w:ascii="Bookman Old Style" w:eastAsia="Montserrat" w:hAnsi="Bookman Old Style" w:cs="Montserrat"/>
                <w:b/>
                <w:color w:val="434343"/>
                <w:highlight w:val="white"/>
              </w:rPr>
              <w:t>- Suplantación personal:</w:t>
            </w:r>
            <w:r w:rsidRPr="00AF1292">
              <w:rPr>
                <w:rFonts w:ascii="Bookman Old Style" w:eastAsia="Montserrat" w:hAnsi="Bookman Old Style" w:cs="Montserrat"/>
                <w:color w:val="434343"/>
                <w:highlight w:val="white"/>
              </w:rPr>
              <w:t xml:space="preserve"> La acción de hacerse pasar por otra persona natural o jurídica, asumiendo su identidad, su voz, su imagen, su firma o cualquier otro atributo personal, con el fin de obtener un beneficio propio o ajeno o de causar un perjuicio a otro.</w:t>
            </w:r>
          </w:p>
          <w:p w:rsidR="00AA558C" w:rsidRPr="00AF1292" w:rsidRDefault="00AA558C">
            <w:pPr>
              <w:jc w:val="both"/>
              <w:rPr>
                <w:rFonts w:ascii="Bookman Old Style" w:eastAsia="Montserrat" w:hAnsi="Bookman Old Style" w:cs="Montserrat"/>
                <w:color w:val="434343"/>
                <w:highlight w:val="white"/>
              </w:rPr>
            </w:pPr>
          </w:p>
          <w:p w:rsidR="00AA558C" w:rsidRPr="00AF1292" w:rsidRDefault="005A0A26">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r w:rsidRPr="00AF1292">
              <w:rPr>
                <w:rFonts w:ascii="Bookman Old Style" w:eastAsia="Montserrat" w:hAnsi="Bookman Old Style" w:cs="Montserrat"/>
                <w:b/>
                <w:color w:val="0D0D0D"/>
                <w:highlight w:val="white"/>
              </w:rPr>
              <w:t xml:space="preserve">- Identidad: </w:t>
            </w:r>
            <w:r w:rsidRPr="00AF1292">
              <w:rPr>
                <w:rFonts w:ascii="Bookman Old Style" w:eastAsia="Montserrat" w:hAnsi="Bookman Old Style" w:cs="Montserrat"/>
                <w:color w:val="0D0D0D"/>
                <w:highlight w:val="white"/>
              </w:rPr>
              <w:t xml:space="preserve">La identidad se refiere al conjunto de características propias de una persona que la distinguen de otras. En el ámbito legal, la identidad comprende aspectos </w:t>
            </w:r>
            <w:r w:rsidRPr="00AF1292">
              <w:rPr>
                <w:rFonts w:ascii="Bookman Old Style" w:eastAsia="Montserrat" w:hAnsi="Bookman Old Style" w:cs="Montserrat"/>
                <w:color w:val="0D0D0D"/>
                <w:highlight w:val="white"/>
              </w:rPr>
              <w:lastRenderedPageBreak/>
              <w:t>como el nombre, la nacionalidad, la fecha de nacimiento, el estado civil y otros datos personales que permiten identificar de manera única a un individuo.</w:t>
            </w:r>
          </w:p>
          <w:p w:rsidR="00AA558C" w:rsidRPr="00AF1292" w:rsidRDefault="00AA558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p>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color w:val="0D0D0D"/>
                <w:highlight w:val="white"/>
              </w:rPr>
              <w:t xml:space="preserve">- Imagen: </w:t>
            </w:r>
            <w:r w:rsidRPr="00AF1292">
              <w:rPr>
                <w:rFonts w:ascii="Bookman Old Style" w:eastAsia="Montserrat" w:hAnsi="Bookman Old Style" w:cs="Montserrat"/>
                <w:color w:val="0D0D0D"/>
                <w:highlight w:val="white"/>
              </w:rPr>
              <w:t>La imagen hace referencia a la proyección externa de una persona, que incluye aspectos físicos, como el rostro y el cuerpo, así como aspectos emocionales y reputacionales. En el contexto legal, la imagen está protegida contra su uso no autorizado o su manipulación, especialmente cuando pueda causar perjuicio a la persona.</w:t>
            </w:r>
          </w:p>
        </w:tc>
        <w:tc>
          <w:tcPr>
            <w:tcW w:w="2925"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lastRenderedPageBreak/>
              <w:t>Artículo 2: Definiciones.</w:t>
            </w:r>
          </w:p>
          <w:p w:rsidR="00AA558C" w:rsidRPr="00AF1292" w:rsidRDefault="005A0A26">
            <w:pPr>
              <w:jc w:val="both"/>
              <w:rPr>
                <w:rFonts w:ascii="Bookman Old Style" w:eastAsia="Montserrat" w:hAnsi="Bookman Old Style" w:cs="Montserrat"/>
                <w:color w:val="434343"/>
                <w:highlight w:val="white"/>
              </w:rPr>
            </w:pPr>
            <w:r w:rsidRPr="00AF1292">
              <w:rPr>
                <w:rFonts w:ascii="Bookman Old Style" w:eastAsia="Montserrat" w:hAnsi="Bookman Old Style" w:cs="Montserrat"/>
                <w:color w:val="434343"/>
                <w:highlight w:val="white"/>
              </w:rPr>
              <w:t xml:space="preserve"> Para los efectos de esta ley, se entiende por:</w:t>
            </w:r>
          </w:p>
          <w:p w:rsidR="00AA558C" w:rsidRPr="00AF1292" w:rsidRDefault="00AA558C">
            <w:pPr>
              <w:jc w:val="both"/>
              <w:rPr>
                <w:rFonts w:ascii="Bookman Old Style" w:eastAsia="Montserrat" w:hAnsi="Bookman Old Style" w:cs="Montserrat"/>
                <w:color w:val="434343"/>
                <w:highlight w:val="white"/>
              </w:rPr>
            </w:pPr>
          </w:p>
          <w:p w:rsidR="00AA558C" w:rsidRPr="00AF1292" w:rsidRDefault="005A0A26">
            <w:pPr>
              <w:jc w:val="both"/>
              <w:rPr>
                <w:rFonts w:ascii="Bookman Old Style" w:eastAsia="Montserrat" w:hAnsi="Bookman Old Style" w:cs="Montserrat"/>
                <w:strike/>
                <w:color w:val="434343"/>
                <w:highlight w:val="white"/>
              </w:rPr>
            </w:pPr>
            <w:r w:rsidRPr="00AF1292">
              <w:rPr>
                <w:rFonts w:ascii="Bookman Old Style" w:eastAsia="Montserrat" w:hAnsi="Bookman Old Style" w:cs="Montserrat"/>
                <w:b/>
                <w:color w:val="434343"/>
                <w:highlight w:val="white"/>
              </w:rPr>
              <w:t xml:space="preserve">- </w:t>
            </w:r>
            <w:r w:rsidRPr="00AF1292">
              <w:rPr>
                <w:rFonts w:ascii="Bookman Old Style" w:eastAsia="Montserrat" w:hAnsi="Bookman Old Style" w:cs="Montserrat"/>
                <w:b/>
                <w:strike/>
                <w:color w:val="434343"/>
                <w:highlight w:val="white"/>
              </w:rPr>
              <w:t xml:space="preserve">Sistemas de Inteligencia Artificial: </w:t>
            </w:r>
            <w:r w:rsidRPr="00AF1292">
              <w:rPr>
                <w:rFonts w:ascii="Bookman Old Style" w:eastAsia="Montserrat" w:hAnsi="Bookman Old Style" w:cs="Montserrat"/>
                <w:strike/>
                <w:color w:val="434343"/>
                <w:highlight w:val="white"/>
              </w:rPr>
              <w:t xml:space="preserve">Sistema basado en una máquina que, para fines explícitos o implícitos, deduce, a partir de los insumos que recibe, cómo generar resultados tales como predicciones, contenidos, recomendaciones o decisiones que pueden influir en entornos físicos o virtuales. Los diferentes sistemas de IA varían en sus niveles de autonomía y adaptabilidad después del despliegue. </w:t>
            </w:r>
          </w:p>
          <w:p w:rsidR="00AA558C" w:rsidRPr="00AF1292" w:rsidRDefault="00AA558C">
            <w:pPr>
              <w:jc w:val="both"/>
              <w:rPr>
                <w:rFonts w:ascii="Bookman Old Style" w:eastAsia="Montserrat" w:hAnsi="Bookman Old Style" w:cs="Montserrat"/>
                <w:strike/>
                <w:color w:val="434343"/>
                <w:highlight w:val="white"/>
              </w:rPr>
            </w:pPr>
          </w:p>
          <w:p w:rsidR="00AA558C" w:rsidRPr="00AF1292" w:rsidRDefault="005A0A26">
            <w:pPr>
              <w:jc w:val="both"/>
              <w:rPr>
                <w:rFonts w:ascii="Bookman Old Style" w:eastAsia="Montserrat" w:hAnsi="Bookman Old Style" w:cs="Montserrat"/>
                <w:color w:val="434343"/>
                <w:u w:val="single"/>
              </w:rPr>
            </w:pPr>
            <w:r w:rsidRPr="00AF1292">
              <w:rPr>
                <w:rFonts w:ascii="Bookman Old Style" w:eastAsia="Montserrat" w:hAnsi="Bookman Old Style" w:cs="Montserrat"/>
                <w:b/>
                <w:color w:val="434343"/>
              </w:rPr>
              <w:t>-  DeepFake:</w:t>
            </w:r>
            <w:r w:rsidRPr="00AF1292">
              <w:rPr>
                <w:rFonts w:ascii="Bookman Old Style" w:eastAsia="Montserrat" w:hAnsi="Bookman Old Style" w:cs="Montserrat"/>
                <w:color w:val="434343"/>
                <w:u w:val="single"/>
              </w:rPr>
              <w:t xml:space="preserve"> es la utilización de un registro audiovisual, incluidas fotografías, vídeos,</w:t>
            </w:r>
          </w:p>
          <w:p w:rsidR="00AA558C" w:rsidRPr="00AF1292" w:rsidRDefault="005A0A26">
            <w:pPr>
              <w:jc w:val="both"/>
              <w:rPr>
                <w:rFonts w:ascii="Bookman Old Style" w:eastAsia="Montserrat" w:hAnsi="Bookman Old Style" w:cs="Montserrat"/>
                <w:color w:val="434343"/>
                <w:u w:val="single"/>
              </w:rPr>
            </w:pPr>
            <w:r w:rsidRPr="00AF1292">
              <w:rPr>
                <w:rFonts w:ascii="Bookman Old Style" w:eastAsia="Montserrat" w:hAnsi="Bookman Old Style" w:cs="Montserrat"/>
                <w:color w:val="434343"/>
                <w:u w:val="single"/>
              </w:rPr>
              <w:t>imágenes o grabaciones de sonido, que se crean o modifican de manera que a un observador razonable el registro</w:t>
            </w:r>
          </w:p>
          <w:p w:rsidR="00AA558C" w:rsidRPr="00AF1292" w:rsidRDefault="005A0A26">
            <w:pPr>
              <w:jc w:val="both"/>
              <w:rPr>
                <w:rFonts w:ascii="Bookman Old Style" w:eastAsia="Montserrat" w:hAnsi="Bookman Old Style" w:cs="Montserrat"/>
                <w:color w:val="434343"/>
                <w:u w:val="single"/>
              </w:rPr>
            </w:pPr>
            <w:r w:rsidRPr="00AF1292">
              <w:rPr>
                <w:rFonts w:ascii="Bookman Old Style" w:eastAsia="Montserrat" w:hAnsi="Bookman Old Style" w:cs="Montserrat"/>
                <w:color w:val="434343"/>
                <w:u w:val="single"/>
              </w:rPr>
              <w:t>le parezca falsamente un registro auténtico del discurso o conducta real de un individuo.</w:t>
            </w:r>
          </w:p>
          <w:p w:rsidR="00AA558C" w:rsidRPr="00AF1292" w:rsidRDefault="005A0A26">
            <w:pPr>
              <w:jc w:val="both"/>
              <w:rPr>
                <w:rFonts w:ascii="Bookman Old Style" w:eastAsia="Montserrat" w:hAnsi="Bookman Old Style" w:cs="Montserrat"/>
                <w:b/>
                <w:color w:val="434343"/>
                <w:u w:val="single"/>
              </w:rPr>
            </w:pPr>
            <w:r w:rsidRPr="00AF1292">
              <w:rPr>
                <w:rFonts w:ascii="Bookman Old Style" w:eastAsia="Montserrat" w:hAnsi="Bookman Old Style" w:cs="Montserrat"/>
                <w:b/>
                <w:color w:val="434343"/>
                <w:u w:val="single"/>
              </w:rPr>
              <w:t xml:space="preserve"> </w:t>
            </w:r>
          </w:p>
          <w:p w:rsidR="00AA558C" w:rsidRPr="00AF1292" w:rsidRDefault="00AA558C">
            <w:pPr>
              <w:jc w:val="both"/>
              <w:rPr>
                <w:rFonts w:ascii="Bookman Old Style" w:eastAsia="Montserrat" w:hAnsi="Bookman Old Style" w:cs="Montserrat"/>
                <w:strike/>
                <w:color w:val="434343"/>
              </w:rPr>
            </w:pPr>
          </w:p>
          <w:p w:rsidR="00AA558C" w:rsidRPr="00AF1292" w:rsidRDefault="005A0A26">
            <w:pPr>
              <w:jc w:val="both"/>
              <w:rPr>
                <w:rFonts w:ascii="Bookman Old Style" w:eastAsia="Montserrat" w:hAnsi="Bookman Old Style" w:cs="Montserrat"/>
                <w:strike/>
                <w:color w:val="434343"/>
              </w:rPr>
            </w:pPr>
            <w:r w:rsidRPr="00AF1292">
              <w:rPr>
                <w:rFonts w:ascii="Bookman Old Style" w:eastAsia="Montserrat" w:hAnsi="Bookman Old Style" w:cs="Montserrat"/>
                <w:strike/>
                <w:color w:val="434343"/>
              </w:rPr>
              <w:t xml:space="preserve">Contenido audiovisual (imagen, audio, video) hiperrealista que es falso o engañoso, creado o modificado mediante sistemas de Inteligencia Artificial.  </w:t>
            </w:r>
          </w:p>
          <w:p w:rsidR="00AA558C" w:rsidRPr="00AF1292" w:rsidRDefault="00AA558C">
            <w:pPr>
              <w:jc w:val="both"/>
              <w:rPr>
                <w:rFonts w:ascii="Bookman Old Style" w:eastAsia="Montserrat" w:hAnsi="Bookman Old Style" w:cs="Montserrat"/>
                <w:strike/>
                <w:color w:val="434343"/>
              </w:rPr>
            </w:pPr>
          </w:p>
          <w:p w:rsidR="00AA558C" w:rsidRPr="00AF1292" w:rsidRDefault="005A0A26">
            <w:pPr>
              <w:jc w:val="both"/>
              <w:rPr>
                <w:rFonts w:ascii="Bookman Old Style" w:eastAsia="Montserrat" w:hAnsi="Bookman Old Style" w:cs="Montserrat"/>
                <w:color w:val="434343"/>
              </w:rPr>
            </w:pPr>
            <w:r w:rsidRPr="00AF1292">
              <w:rPr>
                <w:rFonts w:ascii="Bookman Old Style" w:eastAsia="Montserrat" w:hAnsi="Bookman Old Style" w:cs="Montserrat"/>
                <w:strike/>
                <w:color w:val="434343"/>
              </w:rPr>
              <w:t>El término deepfake proviene de la combinación de las palabras en inglés deep learning (aprendizaje profundo) y fake (falso). Los deepfakes pueden usarse para fines artísticos, educativos, de entretenimiento o de investigación, pero también pueden tener consecuencias negativas para la privacidad, la seguridad, la democracia y la credibilidad de las fuentes de información. Algunos ejemplos de deepfakes son: cambiar el rostro o la voz de una persona en un vídeo, generar una imagen o un audio de alguien que no existe, manipular el movimiento o la expresión facial de una persona, o crear un discurso falso atribuido a una figura pública</w:t>
            </w:r>
            <w:r w:rsidRPr="00AF1292">
              <w:rPr>
                <w:rFonts w:ascii="Bookman Old Style" w:eastAsia="Montserrat" w:hAnsi="Bookman Old Style" w:cs="Montserrat"/>
                <w:color w:val="434343"/>
              </w:rPr>
              <w:t xml:space="preserve">. </w:t>
            </w:r>
          </w:p>
          <w:p w:rsidR="00AA558C" w:rsidRPr="00AF1292" w:rsidRDefault="00AA558C">
            <w:pPr>
              <w:jc w:val="both"/>
              <w:rPr>
                <w:rFonts w:ascii="Bookman Old Style" w:eastAsia="Montserrat" w:hAnsi="Bookman Old Style" w:cs="Montserrat"/>
                <w:color w:val="434343"/>
              </w:rPr>
            </w:pPr>
          </w:p>
          <w:p w:rsidR="00AA558C" w:rsidRPr="00AF1292" w:rsidRDefault="005A0A26">
            <w:pPr>
              <w:jc w:val="both"/>
              <w:rPr>
                <w:rFonts w:ascii="Bookman Old Style" w:eastAsia="Montserrat" w:hAnsi="Bookman Old Style" w:cs="Montserrat"/>
                <w:strike/>
                <w:color w:val="434343"/>
                <w:highlight w:val="white"/>
              </w:rPr>
            </w:pPr>
            <w:r w:rsidRPr="00AF1292">
              <w:rPr>
                <w:rFonts w:ascii="Bookman Old Style" w:eastAsia="Montserrat" w:hAnsi="Bookman Old Style" w:cs="Montserrat"/>
                <w:b/>
                <w:color w:val="434343"/>
                <w:highlight w:val="white"/>
              </w:rPr>
              <w:t xml:space="preserve">- </w:t>
            </w:r>
            <w:r w:rsidRPr="00AF1292">
              <w:rPr>
                <w:rFonts w:ascii="Bookman Old Style" w:eastAsia="Montserrat" w:hAnsi="Bookman Old Style" w:cs="Montserrat"/>
                <w:b/>
                <w:strike/>
                <w:color w:val="434343"/>
                <w:highlight w:val="white"/>
              </w:rPr>
              <w:t>Suplantación personal:</w:t>
            </w:r>
            <w:r w:rsidRPr="00AF1292">
              <w:rPr>
                <w:rFonts w:ascii="Bookman Old Style" w:eastAsia="Montserrat" w:hAnsi="Bookman Old Style" w:cs="Montserrat"/>
                <w:strike/>
                <w:color w:val="434343"/>
                <w:highlight w:val="white"/>
              </w:rPr>
              <w:t xml:space="preserve"> La acción de hacerse pasar por otra persona natural o jurídica, asumiendo su identidad, su voz, su imagen, su firma o </w:t>
            </w:r>
            <w:r w:rsidRPr="00AF1292">
              <w:rPr>
                <w:rFonts w:ascii="Bookman Old Style" w:eastAsia="Montserrat" w:hAnsi="Bookman Old Style" w:cs="Montserrat"/>
                <w:strike/>
                <w:color w:val="434343"/>
                <w:highlight w:val="white"/>
              </w:rPr>
              <w:lastRenderedPageBreak/>
              <w:t>cualquier otro atributo personal, con el fin de obtener un beneficio propio o ajeno o de causar un perjuicio a otro.</w:t>
            </w:r>
          </w:p>
          <w:p w:rsidR="00AA558C" w:rsidRPr="00AF1292" w:rsidRDefault="00AA558C">
            <w:pPr>
              <w:jc w:val="both"/>
              <w:rPr>
                <w:rFonts w:ascii="Bookman Old Style" w:eastAsia="Montserrat" w:hAnsi="Bookman Old Style" w:cs="Montserrat"/>
                <w:color w:val="434343"/>
                <w:highlight w:val="white"/>
              </w:rPr>
            </w:pPr>
          </w:p>
          <w:p w:rsidR="00AA558C" w:rsidRPr="00AF1292" w:rsidRDefault="005A0A26">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r w:rsidRPr="00AF1292">
              <w:rPr>
                <w:rFonts w:ascii="Bookman Old Style" w:eastAsia="Montserrat" w:hAnsi="Bookman Old Style" w:cs="Montserrat"/>
                <w:b/>
                <w:color w:val="0D0D0D"/>
                <w:highlight w:val="white"/>
              </w:rPr>
              <w:t xml:space="preserve">- Identidad: </w:t>
            </w:r>
            <w:r w:rsidRPr="00AF1292">
              <w:rPr>
                <w:rFonts w:ascii="Bookman Old Style" w:eastAsia="Montserrat" w:hAnsi="Bookman Old Style" w:cs="Montserrat"/>
                <w:color w:val="0D0D0D"/>
                <w:highlight w:val="white"/>
              </w:rPr>
              <w:t>La identidad se refiere al conjunto de características propias de una persona que la distinguen de otras. En el ámbito legal, la identidad comprende aspectos como el nombre, la nacionalidad, la fecha de nacimiento, el estado civil y otros datos personales que permiten identificar de manera única a un individuo.</w:t>
            </w:r>
          </w:p>
          <w:p w:rsidR="00AA558C" w:rsidRPr="00AF1292" w:rsidRDefault="00AA558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Montserrat" w:hAnsi="Bookman Old Style" w:cs="Montserrat"/>
                <w:color w:val="0D0D0D"/>
                <w:highlight w:val="white"/>
              </w:rPr>
            </w:pPr>
          </w:p>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color w:val="0D0D0D"/>
                <w:highlight w:val="white"/>
              </w:rPr>
              <w:t xml:space="preserve">- Imagen: </w:t>
            </w:r>
            <w:r w:rsidRPr="00AF1292">
              <w:rPr>
                <w:rFonts w:ascii="Bookman Old Style" w:eastAsia="Montserrat" w:hAnsi="Bookman Old Style" w:cs="Montserrat"/>
                <w:color w:val="0D0D0D"/>
                <w:highlight w:val="white"/>
              </w:rPr>
              <w:t>La imagen hace referencia a la proyección externa de una persona, que incluye aspectos físicos, como el rostro y el cuerpo, así como aspectos emocionales y reputacionales. En el contexto legal, la imagen está protegida contra su uso no autorizado o su manipulación, especialmente cuando pueda causar perjuicio a la persona.</w:t>
            </w:r>
          </w:p>
        </w:tc>
        <w:tc>
          <w:tcPr>
            <w:tcW w:w="267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lastRenderedPageBreak/>
              <w:t xml:space="preserve">- Se excluye la definición de Sistemas de Inteligencia Artificial, con la </w:t>
            </w:r>
            <w:proofErr w:type="gramStart"/>
            <w:r w:rsidRPr="00AF1292">
              <w:rPr>
                <w:rFonts w:ascii="Bookman Old Style" w:eastAsia="Montserrat" w:hAnsi="Bookman Old Style" w:cs="Montserrat"/>
              </w:rPr>
              <w:t>finalidad  de</w:t>
            </w:r>
            <w:proofErr w:type="gramEnd"/>
            <w:r w:rsidRPr="00AF1292">
              <w:rPr>
                <w:rFonts w:ascii="Bookman Old Style" w:eastAsia="Montserrat" w:hAnsi="Bookman Old Style" w:cs="Montserrat"/>
              </w:rPr>
              <w:t xml:space="preserve"> adoptar el concepto del Ministerio de las TICS, que menciona que una definición de IA puede generar dificultades, como la obsolescencia  del mismo por la evolución de la IA.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 Se establece una definición concreta, conforme al Concepto del Ministerio de las TICs.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 Se elimina la definición de suplantación personal, en razón a que la definición ya se encuentra establecida en distinta normatividad y jurisprudencia. </w:t>
            </w:r>
          </w:p>
        </w:tc>
      </w:tr>
      <w:tr w:rsidR="00AA558C" w:rsidRPr="00AF1292">
        <w:tc>
          <w:tcPr>
            <w:tcW w:w="294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b/>
              </w:rPr>
              <w:lastRenderedPageBreak/>
              <w:t xml:space="preserve">Artículo 3: </w:t>
            </w:r>
            <w:r w:rsidRPr="00AF1292">
              <w:rPr>
                <w:rFonts w:ascii="Bookman Old Style" w:eastAsia="Montserrat" w:hAnsi="Bookman Old Style" w:cs="Montserrat"/>
              </w:rPr>
              <w:t xml:space="preserve">Modifíquese el artículo 296 de la Ley 599 del 2000 – Código Penal Colombiano - y adiciónese un inciso el cual quedará así: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b/>
              </w:rPr>
              <w:lastRenderedPageBreak/>
              <w:t>ARTÍCULO 296. FALSEDAD PERSONAL.</w:t>
            </w:r>
            <w:r w:rsidRPr="00AF1292">
              <w:rPr>
                <w:rFonts w:ascii="Bookman Old Style" w:eastAsia="Montserrat" w:hAnsi="Bookman Old Style" w:cs="Montserrat"/>
              </w:rPr>
              <w:t> El que con el fin de obtener un provecho para sí o para otro, o causar daño, sustituya o suplante a una persona o se atribuya nombre, edad, estado civil, o calidad que pueda tener efectos jurídicos, incurrirá en multa, siempre que la conducta no constituya otro delito.</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Cuando la falsedad personal se realizare con la utilización de</w:t>
            </w:r>
            <w:r w:rsidRPr="00AF1292">
              <w:rPr>
                <w:rFonts w:ascii="Bookman Old Style" w:eastAsia="Montserrat" w:hAnsi="Bookman Old Style" w:cs="Montserrat"/>
                <w:b/>
              </w:rPr>
              <w:t xml:space="preserve"> </w:t>
            </w:r>
            <w:r w:rsidRPr="00AF1292">
              <w:rPr>
                <w:rFonts w:ascii="Bookman Old Style" w:eastAsia="Montserrat" w:hAnsi="Bookman Old Style" w:cs="Montserrat"/>
              </w:rPr>
              <w:t>Sistemas de</w:t>
            </w:r>
            <w:r w:rsidRPr="00AF1292">
              <w:rPr>
                <w:rFonts w:ascii="Bookman Old Style" w:eastAsia="Montserrat" w:hAnsi="Bookman Old Style" w:cs="Montserrat"/>
                <w:u w:val="single"/>
              </w:rPr>
              <w:t xml:space="preserve"> </w:t>
            </w:r>
            <w:r w:rsidRPr="00AF1292">
              <w:rPr>
                <w:rFonts w:ascii="Bookman Old Style" w:eastAsia="Montserrat" w:hAnsi="Bookman Old Style" w:cs="Montserrat"/>
              </w:rPr>
              <w:t xml:space="preserve">Inteligencia Artificial la multa se aumentará en </w:t>
            </w:r>
            <w:proofErr w:type="gramStart"/>
            <w:r w:rsidRPr="00AF1292">
              <w:rPr>
                <w:rFonts w:ascii="Bookman Old Style" w:eastAsia="Montserrat" w:hAnsi="Bookman Old Style" w:cs="Montserrat"/>
              </w:rPr>
              <w:t>una  tercera</w:t>
            </w:r>
            <w:proofErr w:type="gramEnd"/>
            <w:r w:rsidRPr="00AF1292">
              <w:rPr>
                <w:rFonts w:ascii="Bookman Old Style" w:eastAsia="Montserrat" w:hAnsi="Bookman Old Style" w:cs="Montserrat"/>
              </w:rPr>
              <w:t xml:space="preserve"> parte , siempre que la conducta no constituya otro delito.</w:t>
            </w:r>
          </w:p>
          <w:p w:rsidR="00AA558C" w:rsidRPr="00AF1292" w:rsidRDefault="00AA558C">
            <w:pPr>
              <w:jc w:val="both"/>
              <w:rPr>
                <w:rFonts w:ascii="Bookman Old Style" w:eastAsia="Montserrat" w:hAnsi="Bookman Old Style" w:cs="Montserrat"/>
                <w:b/>
                <w:highlight w:val="yellow"/>
              </w:rPr>
            </w:pPr>
          </w:p>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b/>
              </w:rPr>
              <w:t xml:space="preserve">Parágrafo: </w:t>
            </w:r>
            <w:r w:rsidRPr="00AF1292">
              <w:rPr>
                <w:rFonts w:ascii="Bookman Old Style" w:eastAsia="Montserrat" w:hAnsi="Bookman Old Style" w:cs="Montserrat"/>
              </w:rPr>
              <w:t>El presente artículo, que modifica el artículo 296 de la Ley 599 del 2000,  empezará a regir a partir de un (1) año siguiente a la sanción y promulgación de la ley</w:t>
            </w:r>
            <w:r w:rsidRPr="00AF1292">
              <w:rPr>
                <w:rFonts w:ascii="Bookman Old Style" w:eastAsia="Montserrat" w:hAnsi="Bookman Old Style" w:cs="Montserrat"/>
                <w:b/>
              </w:rPr>
              <w:t>.</w:t>
            </w:r>
          </w:p>
        </w:tc>
        <w:tc>
          <w:tcPr>
            <w:tcW w:w="2925"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b/>
              </w:rPr>
              <w:lastRenderedPageBreak/>
              <w:t xml:space="preserve">Artículo 3: </w:t>
            </w:r>
            <w:r w:rsidRPr="00AF1292">
              <w:rPr>
                <w:rFonts w:ascii="Bookman Old Style" w:eastAsia="Montserrat" w:hAnsi="Bookman Old Style" w:cs="Montserrat"/>
              </w:rPr>
              <w:t xml:space="preserve">Modifíquese el artículo 296 de la Ley 599 del 2000 – Código Penal Colombiano - y adiciónese un inciso el cual quedará así: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b/>
              </w:rPr>
              <w:lastRenderedPageBreak/>
              <w:t>ARTÍCULO 296. FALSEDAD PERSONAL.</w:t>
            </w:r>
            <w:r w:rsidRPr="00AF1292">
              <w:rPr>
                <w:rFonts w:ascii="Bookman Old Style" w:eastAsia="Montserrat" w:hAnsi="Bookman Old Style" w:cs="Montserrat"/>
              </w:rPr>
              <w:t> El que con el fin de obtener un provecho para sí o para otro, o causar daño, sustituya o suplante a una persona o se atribuya nombre, edad, estado civil, o calidad que pueda tener efectos jurídicos, incurrirá en multa, siempre que la conducta no constituya otro delito.</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Cuando la falsedad personal se realizare con la utilización de</w:t>
            </w:r>
            <w:r w:rsidRPr="00AF1292">
              <w:rPr>
                <w:rFonts w:ascii="Bookman Old Style" w:eastAsia="Montserrat" w:hAnsi="Bookman Old Style" w:cs="Montserrat"/>
                <w:b/>
              </w:rPr>
              <w:t xml:space="preserve"> </w:t>
            </w:r>
            <w:r w:rsidRPr="00AF1292">
              <w:rPr>
                <w:rFonts w:ascii="Bookman Old Style" w:eastAsia="Montserrat" w:hAnsi="Bookman Old Style" w:cs="Montserrat"/>
                <w:strike/>
              </w:rPr>
              <w:t>Sistemas de</w:t>
            </w:r>
            <w:r w:rsidRPr="00AF1292">
              <w:rPr>
                <w:rFonts w:ascii="Bookman Old Style" w:eastAsia="Montserrat" w:hAnsi="Bookman Old Style" w:cs="Montserrat"/>
                <w:u w:val="single"/>
              </w:rPr>
              <w:t xml:space="preserve"> </w:t>
            </w:r>
            <w:r w:rsidRPr="00AF1292">
              <w:rPr>
                <w:rFonts w:ascii="Bookman Old Style" w:eastAsia="Montserrat" w:hAnsi="Bookman Old Style" w:cs="Montserrat"/>
              </w:rPr>
              <w:t xml:space="preserve">Inteligencia Artificial la multa se aumentará en </w:t>
            </w:r>
            <w:proofErr w:type="gramStart"/>
            <w:r w:rsidRPr="00AF1292">
              <w:rPr>
                <w:rFonts w:ascii="Bookman Old Style" w:eastAsia="Montserrat" w:hAnsi="Bookman Old Style" w:cs="Montserrat"/>
              </w:rPr>
              <w:t>una  tercera</w:t>
            </w:r>
            <w:proofErr w:type="gramEnd"/>
            <w:r w:rsidRPr="00AF1292">
              <w:rPr>
                <w:rFonts w:ascii="Bookman Old Style" w:eastAsia="Montserrat" w:hAnsi="Bookman Old Style" w:cs="Montserrat"/>
              </w:rPr>
              <w:t xml:space="preserve"> parte , siempre que la conducta no constituya otro delito.</w:t>
            </w:r>
          </w:p>
          <w:p w:rsidR="00AA558C" w:rsidRPr="00AF1292" w:rsidRDefault="00AA558C">
            <w:pPr>
              <w:jc w:val="both"/>
              <w:rPr>
                <w:rFonts w:ascii="Bookman Old Style" w:eastAsia="Montserrat" w:hAnsi="Bookman Old Style" w:cs="Montserrat"/>
                <w:b/>
                <w:highlight w:val="yellow"/>
              </w:rPr>
            </w:pPr>
          </w:p>
          <w:p w:rsidR="00AA558C" w:rsidRPr="00AF1292" w:rsidRDefault="005A0A26">
            <w:pPr>
              <w:jc w:val="both"/>
              <w:rPr>
                <w:rFonts w:ascii="Bookman Old Style" w:eastAsia="Montserrat" w:hAnsi="Bookman Old Style" w:cs="Montserrat"/>
                <w:b/>
                <w:strike/>
              </w:rPr>
            </w:pPr>
            <w:r w:rsidRPr="00AF1292">
              <w:rPr>
                <w:rFonts w:ascii="Bookman Old Style" w:eastAsia="Montserrat" w:hAnsi="Bookman Old Style" w:cs="Montserrat"/>
                <w:b/>
                <w:strike/>
              </w:rPr>
              <w:t xml:space="preserve">Parágrafo: </w:t>
            </w:r>
            <w:r w:rsidRPr="00AF1292">
              <w:rPr>
                <w:rFonts w:ascii="Bookman Old Style" w:eastAsia="Montserrat" w:hAnsi="Bookman Old Style" w:cs="Montserrat"/>
                <w:strike/>
              </w:rPr>
              <w:t>El presente artículo, que modifica el artículo 296 de la Ley 599 del 2000,  empezará a regir a partir de un (1) año siguiente a la sanción y promulgación de la ley</w:t>
            </w:r>
            <w:r w:rsidRPr="00AF1292">
              <w:rPr>
                <w:rFonts w:ascii="Bookman Old Style" w:eastAsia="Montserrat" w:hAnsi="Bookman Old Style" w:cs="Montserrat"/>
                <w:b/>
                <w:strike/>
              </w:rPr>
              <w:t>.</w:t>
            </w:r>
          </w:p>
        </w:tc>
        <w:tc>
          <w:tcPr>
            <w:tcW w:w="267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lastRenderedPageBreak/>
              <w:t xml:space="preserve">Se elimina la vigencia y se pasa al artículo 5, con el fin mejorar el articulado. Esto conforme a la proposición </w:t>
            </w:r>
            <w:r w:rsidRPr="00AF1292">
              <w:rPr>
                <w:rFonts w:ascii="Bookman Old Style" w:eastAsia="Montserrat" w:hAnsi="Bookman Old Style" w:cs="Montserrat"/>
              </w:rPr>
              <w:lastRenderedPageBreak/>
              <w:t>presentada por el HS Carlos Chacón.</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-Se retira la palabra “Sistemas de”, y se deja solo la palabra Inteligencia Artificial, teniendo en cuenta que la palabra sistemas puede abarcar un ámbito más reducido y limitado.   </w:t>
            </w:r>
          </w:p>
        </w:tc>
      </w:tr>
      <w:tr w:rsidR="00AA558C" w:rsidRPr="00AF1292">
        <w:tc>
          <w:tcPr>
            <w:tcW w:w="294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strike/>
              </w:rPr>
            </w:pPr>
            <w:r w:rsidRPr="00AF1292">
              <w:rPr>
                <w:rFonts w:ascii="Bookman Old Style" w:eastAsia="Montserrat" w:hAnsi="Bookman Old Style" w:cs="Montserrat"/>
                <w:b/>
              </w:rPr>
              <w:lastRenderedPageBreak/>
              <w:t>Artículo 4.</w:t>
            </w:r>
            <w:r w:rsidRPr="00AF1292">
              <w:rPr>
                <w:rFonts w:ascii="Bookman Old Style" w:eastAsia="Montserrat" w:hAnsi="Bookman Old Style" w:cs="Montserrat"/>
              </w:rPr>
              <w:t xml:space="preserve">  Disposiciones:  A partir de la aprobación y promulgación de la presente </w:t>
            </w:r>
            <w:proofErr w:type="gramStart"/>
            <w:r w:rsidRPr="00AF1292">
              <w:rPr>
                <w:rFonts w:ascii="Bookman Old Style" w:eastAsia="Montserrat" w:hAnsi="Bookman Old Style" w:cs="Montserrat"/>
              </w:rPr>
              <w:t>ley,  se</w:t>
            </w:r>
            <w:proofErr w:type="gramEnd"/>
            <w:r w:rsidRPr="00AF1292">
              <w:rPr>
                <w:rFonts w:ascii="Bookman Old Style" w:eastAsia="Montserrat" w:hAnsi="Bookman Old Style" w:cs="Montserrat"/>
              </w:rPr>
              <w:t xml:space="preserve"> ordena al Gobierno Nacional y a la Fiscalía General de la Nación, promover la adopción de las siguientes políticas relacionadas con el uso de Sistemas de </w:t>
            </w:r>
            <w:r w:rsidRPr="00AF1292">
              <w:rPr>
                <w:rFonts w:ascii="Bookman Old Style" w:eastAsia="Montserrat" w:hAnsi="Bookman Old Style" w:cs="Montserrat"/>
              </w:rPr>
              <w:lastRenderedPageBreak/>
              <w:t>Inteligencia Artificial (IA) con fines de engaño o daño y que pueden tener consecuencias negativas para la privacidad, la seguridad, la democracia y la credibilidad de las fuentes de información</w:t>
            </w:r>
            <w:r w:rsidRPr="00AF1292">
              <w:rPr>
                <w:rFonts w:ascii="Bookman Old Style" w:eastAsia="Montserrat" w:hAnsi="Bookman Old Style" w:cs="Montserrat"/>
                <w:b/>
                <w:u w:val="single"/>
              </w:rPr>
              <w:t xml:space="preserve">  </w:t>
            </w:r>
            <w:r w:rsidRPr="00AF1292">
              <w:rPr>
                <w:rFonts w:ascii="Bookman Old Style" w:eastAsia="Montserrat" w:hAnsi="Bookman Old Style" w:cs="Montserrat"/>
              </w:rPr>
              <w:t xml:space="preserve">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1.</w:t>
            </w:r>
            <w:r w:rsidRPr="00AF1292">
              <w:rPr>
                <w:rFonts w:ascii="Bookman Old Style" w:eastAsia="Montserrat" w:hAnsi="Bookman Old Style" w:cs="Montserrat"/>
              </w:rPr>
              <w:tab/>
              <w:t xml:space="preserve">Marco Ético y Legal: Establecer un marco ético y legal sólido </w:t>
            </w:r>
            <w:proofErr w:type="gramStart"/>
            <w:r w:rsidRPr="00AF1292">
              <w:rPr>
                <w:rFonts w:ascii="Bookman Old Style" w:eastAsia="Montserrat" w:hAnsi="Bookman Old Style" w:cs="Montserrat"/>
              </w:rPr>
              <w:t>que  establezca</w:t>
            </w:r>
            <w:proofErr w:type="gramEnd"/>
            <w:r w:rsidRPr="00AF1292">
              <w:rPr>
                <w:rFonts w:ascii="Bookman Old Style" w:eastAsia="Montserrat" w:hAnsi="Bookman Old Style" w:cs="Montserrat"/>
              </w:rPr>
              <w:t xml:space="preserve"> lineamientos del uso de la IA,  y fomente el desarrollo de acceso a un ecosistema digital inclusivo, dinámico, sostenible e interoperable para una IA confiable y el acceso a él. Este Marco </w:t>
            </w:r>
            <w:proofErr w:type="gramStart"/>
            <w:r w:rsidRPr="00AF1292">
              <w:rPr>
                <w:rFonts w:ascii="Bookman Old Style" w:eastAsia="Montserrat" w:hAnsi="Bookman Old Style" w:cs="Montserrat"/>
              </w:rPr>
              <w:t>Ético  y</w:t>
            </w:r>
            <w:proofErr w:type="gramEnd"/>
            <w:r w:rsidRPr="00AF1292">
              <w:rPr>
                <w:rFonts w:ascii="Bookman Old Style" w:eastAsia="Montserrat" w:hAnsi="Bookman Old Style" w:cs="Montserrat"/>
              </w:rPr>
              <w:t xml:space="preserve"> legal deberá procurar por apoyar el intercambio seguro, justo, legal y ético de datos y asegurando que las herramientas desarrolladas respeten la privacidad y los derechos humanos.</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2.</w:t>
            </w:r>
            <w:r w:rsidRPr="00AF1292">
              <w:rPr>
                <w:rFonts w:ascii="Bookman Old Style" w:eastAsia="Montserrat" w:hAnsi="Bookman Old Style" w:cs="Montserrat"/>
              </w:rPr>
              <w:tab/>
              <w:t xml:space="preserve">Colaboración Intersectorial: Realizar estrategias que fomenten la colaboración entre entidades gubernamentales como el Ministerio de Justicia, el Ministerio de las Tecnologías de la Información y las Comunicaciones, la Fiscalía General de la Nación, el sector privado, la academia y la sociedad civil para compartir </w:t>
            </w:r>
            <w:proofErr w:type="gramStart"/>
            <w:r w:rsidRPr="00AF1292">
              <w:rPr>
                <w:rFonts w:ascii="Bookman Old Style" w:eastAsia="Montserrat" w:hAnsi="Bookman Old Style" w:cs="Montserrat"/>
              </w:rPr>
              <w:lastRenderedPageBreak/>
              <w:t>conocimientos ,</w:t>
            </w:r>
            <w:proofErr w:type="gramEnd"/>
            <w:r w:rsidRPr="00AF1292">
              <w:rPr>
                <w:rFonts w:ascii="Bookman Old Style" w:eastAsia="Montserrat" w:hAnsi="Bookman Old Style" w:cs="Montserrat"/>
              </w:rPr>
              <w:t xml:space="preserve"> recursos y estrategias que identifiquen riesgos que afecten los derechos de autor y suplantación de identidad personal.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3.</w:t>
            </w:r>
            <w:r w:rsidRPr="00AF1292">
              <w:rPr>
                <w:rFonts w:ascii="Bookman Old Style" w:eastAsia="Montserrat" w:hAnsi="Bookman Old Style" w:cs="Montserrat"/>
              </w:rPr>
              <w:tab/>
              <w:t>Educación y Capacitación: Implementar programas de educación y capacitación para desarrollar talento local en IA, con un enfoque en la seguridad y la ética digital.</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4.</w:t>
            </w:r>
            <w:r w:rsidRPr="00AF1292">
              <w:rPr>
                <w:rFonts w:ascii="Bookman Old Style" w:eastAsia="Montserrat" w:hAnsi="Bookman Old Style" w:cs="Montserrat"/>
              </w:rPr>
              <w:tab/>
              <w:t>Desarrollo de Tecnología: Invertir y</w:t>
            </w:r>
            <w:r w:rsidRPr="00AF1292">
              <w:rPr>
                <w:rFonts w:ascii="Bookman Old Style" w:eastAsia="Montserrat" w:hAnsi="Bookman Old Style" w:cs="Montserrat"/>
                <w:b/>
                <w:u w:val="single"/>
              </w:rPr>
              <w:t xml:space="preserve"> </w:t>
            </w:r>
            <w:r w:rsidRPr="00AF1292">
              <w:rPr>
                <w:rFonts w:ascii="Bookman Old Style" w:eastAsia="Montserrat" w:hAnsi="Bookman Old Style" w:cs="Montserrat"/>
              </w:rPr>
              <w:t xml:space="preserve">fomentar la inversión privada en la investigación y desarrollo y en ciencia abierta, incluidas iniciativas interdisciplinarias, para estimular la innovación en una IA confiable que se centre en cuestiones técnicas difíciles y en las consecuencias sociales, jurídicas y éticas y las cuestiones normativas relacionadas con la IA. En lo que respecta a la Fiscalía General de la Nación, invertir </w:t>
            </w:r>
            <w:proofErr w:type="gramStart"/>
            <w:r w:rsidRPr="00AF1292">
              <w:rPr>
                <w:rFonts w:ascii="Bookman Old Style" w:eastAsia="Montserrat" w:hAnsi="Bookman Old Style" w:cs="Montserrat"/>
              </w:rPr>
              <w:t>en</w:t>
            </w:r>
            <w:r w:rsidRPr="00AF1292">
              <w:rPr>
                <w:rFonts w:ascii="Bookman Old Style" w:eastAsia="Montserrat" w:hAnsi="Bookman Old Style" w:cs="Montserrat"/>
                <w:b/>
                <w:u w:val="single"/>
              </w:rPr>
              <w:t xml:space="preserve"> </w:t>
            </w:r>
            <w:r w:rsidRPr="00AF1292">
              <w:rPr>
                <w:rFonts w:ascii="Bookman Old Style" w:eastAsia="Montserrat" w:hAnsi="Bookman Old Style" w:cs="Montserrat"/>
              </w:rPr>
              <w:t xml:space="preserve"> tecnologías</w:t>
            </w:r>
            <w:proofErr w:type="gramEnd"/>
            <w:r w:rsidRPr="00AF1292">
              <w:rPr>
                <w:rFonts w:ascii="Bookman Old Style" w:eastAsia="Montserrat" w:hAnsi="Bookman Old Style" w:cs="Montserrat"/>
              </w:rPr>
              <w:t xml:space="preserve"> de IA específicas para la detección de deepfakes,  fraudes y suplantación de identidad, utilizando algoritmos avanzados de aprendizaje automático y procesamiento de lenguaje natural.</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lastRenderedPageBreak/>
              <w:t>5.</w:t>
            </w:r>
            <w:r w:rsidRPr="00AF1292">
              <w:rPr>
                <w:rFonts w:ascii="Bookman Old Style" w:eastAsia="Montserrat" w:hAnsi="Bookman Old Style" w:cs="Montserrat"/>
              </w:rPr>
              <w:tab/>
              <w:t xml:space="preserve">Infraestructura de Datos: Crear una infraestructura de datos segura que permita el análisis eficiente de grandes volúmenes de información para detectar patrones de fraude y deepfakes.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6.</w:t>
            </w:r>
            <w:r w:rsidRPr="00AF1292">
              <w:rPr>
                <w:rFonts w:ascii="Bookman Old Style" w:eastAsia="Montserrat" w:hAnsi="Bookman Old Style" w:cs="Montserrat"/>
              </w:rPr>
              <w:tab/>
              <w:t>Transparencia y Gobernanza de IA: Promover la transparencia en los algoritmos de Sistemas de IA y establecer un sistema de gobernanza que incluya auditorías y revisiones periódicas.</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7.</w:t>
            </w:r>
            <w:r w:rsidRPr="00AF1292">
              <w:rPr>
                <w:rFonts w:ascii="Bookman Old Style" w:eastAsia="Montserrat" w:hAnsi="Bookman Old Style" w:cs="Montserrat"/>
              </w:rPr>
              <w:tab/>
              <w:t>Cooperación Internacional: Buscar alianzas internacionales para compartir mejores prácticas y tecnologías avanzadas en la lucha contra la suplantación de identidad y los deepfakes.</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8.</w:t>
            </w:r>
            <w:r w:rsidRPr="00AF1292">
              <w:rPr>
                <w:rFonts w:ascii="Bookman Old Style" w:eastAsia="Montserrat" w:hAnsi="Bookman Old Style" w:cs="Montserrat"/>
              </w:rPr>
              <w:tab/>
              <w:t>Respuesta Rápida: Establecer un protocolo de respuesta rápida para actuar eficientemente ante incidentes de suplantación de identidad y los deepfakes. detectados por las herramientas de IA.</w:t>
            </w:r>
          </w:p>
          <w:p w:rsidR="00AA558C" w:rsidRPr="00AF1292" w:rsidRDefault="005A0A26">
            <w:pPr>
              <w:widowControl w:val="0"/>
              <w:spacing w:before="240"/>
              <w:jc w:val="both"/>
              <w:rPr>
                <w:rFonts w:ascii="Bookman Old Style" w:eastAsia="Montserrat" w:hAnsi="Bookman Old Style" w:cs="Montserrat"/>
                <w:strike/>
              </w:rPr>
            </w:pPr>
            <w:r w:rsidRPr="00AF1292">
              <w:rPr>
                <w:rFonts w:ascii="Bookman Old Style" w:eastAsia="Montserrat" w:hAnsi="Bookman Old Style" w:cs="Montserrat"/>
              </w:rPr>
              <w:t xml:space="preserve">Parágrafo. El Gobierno Nacional y la Fiscalía General de la Nación, contarán con un plazo de dos (2) años para la formulación de las acciones e iniciativas </w:t>
            </w:r>
            <w:r w:rsidRPr="00AF1292">
              <w:rPr>
                <w:rFonts w:ascii="Bookman Old Style" w:eastAsia="Montserrat" w:hAnsi="Bookman Old Style" w:cs="Montserrat"/>
              </w:rPr>
              <w:lastRenderedPageBreak/>
              <w:t>dispuestos en el presente artículo.</w:t>
            </w:r>
          </w:p>
          <w:p w:rsidR="00AA558C" w:rsidRPr="00AF1292" w:rsidRDefault="00AA558C">
            <w:pPr>
              <w:widowControl w:val="0"/>
              <w:jc w:val="both"/>
              <w:rPr>
                <w:rFonts w:ascii="Bookman Old Style" w:eastAsia="Montserrat" w:hAnsi="Bookman Old Style" w:cs="Montserrat"/>
              </w:rPr>
            </w:pPr>
          </w:p>
        </w:tc>
        <w:tc>
          <w:tcPr>
            <w:tcW w:w="2925"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strike/>
              </w:rPr>
            </w:pPr>
            <w:r w:rsidRPr="00AF1292">
              <w:rPr>
                <w:rFonts w:ascii="Bookman Old Style" w:eastAsia="Montserrat" w:hAnsi="Bookman Old Style" w:cs="Montserrat"/>
                <w:b/>
              </w:rPr>
              <w:lastRenderedPageBreak/>
              <w:t>Artículo 4.</w:t>
            </w:r>
            <w:r w:rsidRPr="00AF1292">
              <w:rPr>
                <w:rFonts w:ascii="Bookman Old Style" w:eastAsia="Montserrat" w:hAnsi="Bookman Old Style" w:cs="Montserrat"/>
              </w:rPr>
              <w:t xml:space="preserve">  Disposiciones:  A partir de la aprobación y promulgación de la presente </w:t>
            </w:r>
            <w:proofErr w:type="gramStart"/>
            <w:r w:rsidRPr="00AF1292">
              <w:rPr>
                <w:rFonts w:ascii="Bookman Old Style" w:eastAsia="Montserrat" w:hAnsi="Bookman Old Style" w:cs="Montserrat"/>
              </w:rPr>
              <w:t>ley,  se</w:t>
            </w:r>
            <w:proofErr w:type="gramEnd"/>
            <w:r w:rsidRPr="00AF1292">
              <w:rPr>
                <w:rFonts w:ascii="Bookman Old Style" w:eastAsia="Montserrat" w:hAnsi="Bookman Old Style" w:cs="Montserrat"/>
              </w:rPr>
              <w:t xml:space="preserve"> ordena al Gobierno Nacional y a la Fiscalía General de la Nación, promover la adopción de las siguientes políticas relacionadas con el uso de </w:t>
            </w:r>
            <w:r w:rsidRPr="00AF1292">
              <w:rPr>
                <w:rFonts w:ascii="Bookman Old Style" w:eastAsia="Montserrat" w:hAnsi="Bookman Old Style" w:cs="Montserrat"/>
                <w:strike/>
              </w:rPr>
              <w:t xml:space="preserve">Sistemas de </w:t>
            </w:r>
            <w:r w:rsidRPr="00AF1292">
              <w:rPr>
                <w:rFonts w:ascii="Bookman Old Style" w:eastAsia="Montserrat" w:hAnsi="Bookman Old Style" w:cs="Montserrat"/>
              </w:rPr>
              <w:lastRenderedPageBreak/>
              <w:t>Inteligencia Artificial (IA) con fines de engaño o daño y que pueden tener consecuencias negativas para la privacidad, la seguridad, la democracia y la credibilidad de las fuentes de información</w:t>
            </w:r>
            <w:r w:rsidRPr="00AF1292">
              <w:rPr>
                <w:rFonts w:ascii="Bookman Old Style" w:eastAsia="Montserrat" w:hAnsi="Bookman Old Style" w:cs="Montserrat"/>
                <w:b/>
                <w:u w:val="single"/>
              </w:rPr>
              <w:t xml:space="preserve">  </w:t>
            </w:r>
            <w:r w:rsidRPr="00AF1292">
              <w:rPr>
                <w:rFonts w:ascii="Bookman Old Style" w:eastAsia="Montserrat" w:hAnsi="Bookman Old Style" w:cs="Montserrat"/>
              </w:rPr>
              <w:t xml:space="preserve">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1.</w:t>
            </w:r>
            <w:r w:rsidRPr="00AF1292">
              <w:rPr>
                <w:rFonts w:ascii="Bookman Old Style" w:eastAsia="Montserrat" w:hAnsi="Bookman Old Style" w:cs="Montserrat"/>
              </w:rPr>
              <w:tab/>
              <w:t xml:space="preserve">Marco Ético </w:t>
            </w:r>
            <w:r w:rsidRPr="00AF1292">
              <w:rPr>
                <w:rFonts w:ascii="Bookman Old Style" w:eastAsia="Montserrat" w:hAnsi="Bookman Old Style" w:cs="Montserrat"/>
                <w:strike/>
              </w:rPr>
              <w:t>y Lega</w:t>
            </w:r>
            <w:r w:rsidRPr="00AF1292">
              <w:rPr>
                <w:rFonts w:ascii="Bookman Old Style" w:eastAsia="Montserrat" w:hAnsi="Bookman Old Style" w:cs="Montserrat"/>
              </w:rPr>
              <w:t xml:space="preserve">l: Establecer un marco ético </w:t>
            </w:r>
            <w:r w:rsidRPr="00AF1292">
              <w:rPr>
                <w:rFonts w:ascii="Bookman Old Style" w:eastAsia="Montserrat" w:hAnsi="Bookman Old Style" w:cs="Montserrat"/>
                <w:strike/>
              </w:rPr>
              <w:t>y legal</w:t>
            </w:r>
            <w:r w:rsidRPr="00AF1292">
              <w:rPr>
                <w:rFonts w:ascii="Bookman Old Style" w:eastAsia="Montserrat" w:hAnsi="Bookman Old Style" w:cs="Montserrat"/>
              </w:rPr>
              <w:t xml:space="preserve"> sólido </w:t>
            </w:r>
            <w:proofErr w:type="gramStart"/>
            <w:r w:rsidRPr="00AF1292">
              <w:rPr>
                <w:rFonts w:ascii="Bookman Old Style" w:eastAsia="Montserrat" w:hAnsi="Bookman Old Style" w:cs="Montserrat"/>
              </w:rPr>
              <w:t>que  establezca</w:t>
            </w:r>
            <w:proofErr w:type="gramEnd"/>
            <w:r w:rsidRPr="00AF1292">
              <w:rPr>
                <w:rFonts w:ascii="Bookman Old Style" w:eastAsia="Montserrat" w:hAnsi="Bookman Old Style" w:cs="Montserrat"/>
              </w:rPr>
              <w:t xml:space="preserve"> lineamientos del uso de la IA,  y fomente el desarrollo de acceso a un ecosistema digital inclusivo, dinámico, sostenible e interoperable para una IA confiable y el acceso a él. Este Marco </w:t>
            </w:r>
            <w:proofErr w:type="gramStart"/>
            <w:r w:rsidRPr="00AF1292">
              <w:rPr>
                <w:rFonts w:ascii="Bookman Old Style" w:eastAsia="Montserrat" w:hAnsi="Bookman Old Style" w:cs="Montserrat"/>
              </w:rPr>
              <w:t>Ético  y</w:t>
            </w:r>
            <w:proofErr w:type="gramEnd"/>
            <w:r w:rsidRPr="00AF1292">
              <w:rPr>
                <w:rFonts w:ascii="Bookman Old Style" w:eastAsia="Montserrat" w:hAnsi="Bookman Old Style" w:cs="Montserrat"/>
              </w:rPr>
              <w:t xml:space="preserve"> legal deberá procurar apoyar el intercambio seguro, justo, legal y ético de datos y asegurando que las herramientas desarrolladas respeten la privacidad y los derechos humanos.</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2.</w:t>
            </w:r>
            <w:r w:rsidRPr="00AF1292">
              <w:rPr>
                <w:rFonts w:ascii="Bookman Old Style" w:eastAsia="Montserrat" w:hAnsi="Bookman Old Style" w:cs="Montserrat"/>
              </w:rPr>
              <w:tab/>
              <w:t xml:space="preserve">Colaboración Intersectorial: Realizar estrategias que fomenten la colaboración entre entidades gubernamentales como el Ministerio de Justicia, el Ministerio de las Tecnologías de la Información y las Comunicaciones, la Fiscalía General de la Nación, el sector privado, la academia y la sociedad civil para compartir </w:t>
            </w:r>
            <w:proofErr w:type="gramStart"/>
            <w:r w:rsidRPr="00AF1292">
              <w:rPr>
                <w:rFonts w:ascii="Bookman Old Style" w:eastAsia="Montserrat" w:hAnsi="Bookman Old Style" w:cs="Montserrat"/>
              </w:rPr>
              <w:lastRenderedPageBreak/>
              <w:t>conocimientos ,</w:t>
            </w:r>
            <w:proofErr w:type="gramEnd"/>
            <w:r w:rsidRPr="00AF1292">
              <w:rPr>
                <w:rFonts w:ascii="Bookman Old Style" w:eastAsia="Montserrat" w:hAnsi="Bookman Old Style" w:cs="Montserrat"/>
              </w:rPr>
              <w:t xml:space="preserve"> recursos y estrategias que identifiquen riesgos que afecten los derechos de autor y suplantación de identidad personal.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3.</w:t>
            </w:r>
            <w:r w:rsidRPr="00AF1292">
              <w:rPr>
                <w:rFonts w:ascii="Bookman Old Style" w:eastAsia="Montserrat" w:hAnsi="Bookman Old Style" w:cs="Montserrat"/>
              </w:rPr>
              <w:tab/>
              <w:t>Educación y Capacitación: Implementar programas de educación y capacitación para desarrollar talento local en IA, con un enfoque en la seguridad y la ética digital.</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rPr>
              <w:t>4.</w:t>
            </w:r>
            <w:r w:rsidRPr="00AF1292">
              <w:rPr>
                <w:rFonts w:ascii="Bookman Old Style" w:eastAsia="Montserrat" w:hAnsi="Bookman Old Style" w:cs="Montserrat"/>
              </w:rPr>
              <w:tab/>
              <w:t>Desarrollo de Tecnología: Invertir y</w:t>
            </w:r>
            <w:r w:rsidRPr="00AF1292">
              <w:rPr>
                <w:rFonts w:ascii="Bookman Old Style" w:eastAsia="Montserrat" w:hAnsi="Bookman Old Style" w:cs="Montserrat"/>
                <w:b/>
                <w:u w:val="single"/>
              </w:rPr>
              <w:t xml:space="preserve"> </w:t>
            </w:r>
            <w:r w:rsidRPr="00AF1292">
              <w:rPr>
                <w:rFonts w:ascii="Bookman Old Style" w:eastAsia="Montserrat" w:hAnsi="Bookman Old Style" w:cs="Montserrat"/>
              </w:rPr>
              <w:t xml:space="preserve">fomentar la inversión privada en la investigación y desarrollo y en ciencia abierta, incluidas iniciativas interdisciplinarias, para estimular la innovación en una IA confiable que se centre en cuestiones técnicas difíciles y en las consecuencias sociales, jurídicas y éticas y las cuestiones normativas relacionadas con la IA. En lo que respecta a la Fiscalía General de la Nación, invertir </w:t>
            </w:r>
            <w:proofErr w:type="gramStart"/>
            <w:r w:rsidRPr="00AF1292">
              <w:rPr>
                <w:rFonts w:ascii="Bookman Old Style" w:eastAsia="Montserrat" w:hAnsi="Bookman Old Style" w:cs="Montserrat"/>
              </w:rPr>
              <w:t>en</w:t>
            </w:r>
            <w:r w:rsidRPr="00AF1292">
              <w:rPr>
                <w:rFonts w:ascii="Bookman Old Style" w:eastAsia="Montserrat" w:hAnsi="Bookman Old Style" w:cs="Montserrat"/>
                <w:b/>
                <w:u w:val="single"/>
              </w:rPr>
              <w:t xml:space="preserve"> </w:t>
            </w:r>
            <w:r w:rsidRPr="00AF1292">
              <w:rPr>
                <w:rFonts w:ascii="Bookman Old Style" w:eastAsia="Montserrat" w:hAnsi="Bookman Old Style" w:cs="Montserrat"/>
              </w:rPr>
              <w:t xml:space="preserve"> tecnologías</w:t>
            </w:r>
            <w:proofErr w:type="gramEnd"/>
            <w:r w:rsidRPr="00AF1292">
              <w:rPr>
                <w:rFonts w:ascii="Bookman Old Style" w:eastAsia="Montserrat" w:hAnsi="Bookman Old Style" w:cs="Montserrat"/>
              </w:rPr>
              <w:t xml:space="preserve"> de IA específicas para la detección de deepfakes,  fraudes y suplantación de identidad, utilizando algoritmos avanzados de aprendizaje automático y procesamiento de lenguaje natural.</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strike/>
              </w:rPr>
            </w:pPr>
            <w:r w:rsidRPr="00AF1292">
              <w:rPr>
                <w:rFonts w:ascii="Bookman Old Style" w:eastAsia="Montserrat" w:hAnsi="Bookman Old Style" w:cs="Montserrat"/>
                <w:strike/>
              </w:rPr>
              <w:lastRenderedPageBreak/>
              <w:t>5.</w:t>
            </w:r>
            <w:r w:rsidRPr="00AF1292">
              <w:rPr>
                <w:rFonts w:ascii="Bookman Old Style" w:eastAsia="Montserrat" w:hAnsi="Bookman Old Style" w:cs="Montserrat"/>
                <w:strike/>
              </w:rPr>
              <w:tab/>
              <w:t xml:space="preserve">Infraestructura de Datos: Crear una infraestructura de datos segura que permita el análisis eficiente de grandes volúmenes de información para detectar patrones de fraude y deepfakes.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3D334C">
              <w:rPr>
                <w:rFonts w:ascii="Bookman Old Style" w:eastAsia="Montserrat" w:hAnsi="Bookman Old Style" w:cs="Montserrat"/>
                <w:strike/>
              </w:rPr>
              <w:t>6.</w:t>
            </w:r>
            <w:r w:rsidR="003D334C">
              <w:rPr>
                <w:rFonts w:ascii="Bookman Old Style" w:eastAsia="Montserrat" w:hAnsi="Bookman Old Style" w:cs="Montserrat"/>
              </w:rPr>
              <w:t xml:space="preserve"> 5</w:t>
            </w:r>
            <w:r w:rsidRPr="00AF1292">
              <w:rPr>
                <w:rFonts w:ascii="Bookman Old Style" w:eastAsia="Montserrat" w:hAnsi="Bookman Old Style" w:cs="Montserrat"/>
              </w:rPr>
              <w:tab/>
              <w:t xml:space="preserve">Transparencia y Gobernanza de IA: Promover la transparencia en los algoritmos </w:t>
            </w:r>
            <w:r w:rsidRPr="00AF1292">
              <w:rPr>
                <w:rFonts w:ascii="Bookman Old Style" w:eastAsia="Montserrat" w:hAnsi="Bookman Old Style" w:cs="Montserrat"/>
                <w:strike/>
              </w:rPr>
              <w:t>de Sistemas</w:t>
            </w:r>
            <w:r w:rsidRPr="00AF1292">
              <w:rPr>
                <w:rFonts w:ascii="Bookman Old Style" w:eastAsia="Montserrat" w:hAnsi="Bookman Old Style" w:cs="Montserrat"/>
              </w:rPr>
              <w:t xml:space="preserve"> de IA y establecer un sistema de gobernanza que incluya auditorías y revisiones periódicas.</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3D334C">
              <w:rPr>
                <w:rFonts w:ascii="Bookman Old Style" w:eastAsia="Montserrat" w:hAnsi="Bookman Old Style" w:cs="Montserrat"/>
                <w:strike/>
              </w:rPr>
              <w:t>7.</w:t>
            </w:r>
            <w:r w:rsidR="003D334C">
              <w:rPr>
                <w:rFonts w:ascii="Bookman Old Style" w:eastAsia="Montserrat" w:hAnsi="Bookman Old Style" w:cs="Montserrat"/>
              </w:rPr>
              <w:t xml:space="preserve"> 6</w:t>
            </w:r>
            <w:r w:rsidRPr="00AF1292">
              <w:rPr>
                <w:rFonts w:ascii="Bookman Old Style" w:eastAsia="Montserrat" w:hAnsi="Bookman Old Style" w:cs="Montserrat"/>
              </w:rPr>
              <w:tab/>
              <w:t>Cooperación Internacional: Buscar alianzas internacionales para compartir mejores prácticas y tecnologías avanzadas en la lucha contra la suplantación de identidad y los deepfakes.</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3D334C">
              <w:rPr>
                <w:rFonts w:ascii="Bookman Old Style" w:eastAsia="Montserrat" w:hAnsi="Bookman Old Style" w:cs="Montserrat"/>
                <w:strike/>
              </w:rPr>
              <w:t>8.</w:t>
            </w:r>
            <w:r w:rsidR="003D334C">
              <w:rPr>
                <w:rFonts w:ascii="Bookman Old Style" w:eastAsia="Montserrat" w:hAnsi="Bookman Old Style" w:cs="Montserrat"/>
              </w:rPr>
              <w:t xml:space="preserve"> 7</w:t>
            </w:r>
            <w:r w:rsidRPr="00AF1292">
              <w:rPr>
                <w:rFonts w:ascii="Bookman Old Style" w:eastAsia="Montserrat" w:hAnsi="Bookman Old Style" w:cs="Montserrat"/>
              </w:rPr>
              <w:tab/>
              <w:t>Respuesta Rápida: Establecer un protocolo de respuesta rápida para actuar eficientemente ante incidentes de suplantación de identidad y los deepfakes. detectados por las herramientas de IA.</w:t>
            </w:r>
          </w:p>
          <w:p w:rsidR="00AA558C" w:rsidRPr="00AF1292" w:rsidRDefault="00AA558C">
            <w:pPr>
              <w:widowControl w:val="0"/>
              <w:jc w:val="both"/>
              <w:rPr>
                <w:rFonts w:ascii="Bookman Old Style" w:eastAsia="Montserrat" w:hAnsi="Bookman Old Style" w:cs="Montserrat"/>
              </w:rPr>
            </w:pPr>
          </w:p>
          <w:p w:rsidR="00AA558C" w:rsidRPr="00AF1292" w:rsidRDefault="003D334C">
            <w:pPr>
              <w:widowControl w:val="0"/>
              <w:jc w:val="both"/>
              <w:rPr>
                <w:rFonts w:ascii="Bookman Old Style" w:eastAsia="Montserrat" w:hAnsi="Bookman Old Style" w:cs="Montserrat"/>
                <w:b/>
                <w:u w:val="single"/>
              </w:rPr>
            </w:pPr>
            <w:r>
              <w:rPr>
                <w:rFonts w:ascii="Bookman Old Style" w:eastAsia="Montserrat" w:hAnsi="Bookman Old Style" w:cs="Montserrat"/>
                <w:b/>
                <w:u w:val="single"/>
              </w:rPr>
              <w:t>8</w:t>
            </w:r>
            <w:r w:rsidR="005A0A26" w:rsidRPr="00AF1292">
              <w:rPr>
                <w:rFonts w:ascii="Bookman Old Style" w:eastAsia="Montserrat" w:hAnsi="Bookman Old Style" w:cs="Montserrat"/>
                <w:b/>
                <w:u w:val="single"/>
              </w:rPr>
              <w:t>. RELACIONES INTERNACIONALES: Promover y colaborar con otros países de la</w:t>
            </w:r>
          </w:p>
          <w:p w:rsidR="00AA558C" w:rsidRPr="00AF1292" w:rsidRDefault="005A0A26">
            <w:pPr>
              <w:widowControl w:val="0"/>
              <w:jc w:val="both"/>
              <w:rPr>
                <w:rFonts w:ascii="Bookman Old Style" w:eastAsia="Montserrat" w:hAnsi="Bookman Old Style" w:cs="Montserrat"/>
                <w:b/>
                <w:u w:val="single"/>
              </w:rPr>
            </w:pPr>
            <w:r w:rsidRPr="00AF1292">
              <w:rPr>
                <w:rFonts w:ascii="Bookman Old Style" w:eastAsia="Montserrat" w:hAnsi="Bookman Old Style" w:cs="Montserrat"/>
                <w:b/>
                <w:u w:val="single"/>
              </w:rPr>
              <w:t xml:space="preserve">región y a nivel global </w:t>
            </w:r>
            <w:r w:rsidRPr="00AF1292">
              <w:rPr>
                <w:rFonts w:ascii="Bookman Old Style" w:eastAsia="Montserrat" w:hAnsi="Bookman Old Style" w:cs="Montserrat"/>
                <w:b/>
                <w:u w:val="single"/>
              </w:rPr>
              <w:lastRenderedPageBreak/>
              <w:t>en la implementación de acuerdos internacionales que</w:t>
            </w:r>
          </w:p>
          <w:p w:rsidR="00AA558C" w:rsidRPr="00AF1292" w:rsidRDefault="005A0A26">
            <w:pPr>
              <w:widowControl w:val="0"/>
              <w:jc w:val="both"/>
              <w:rPr>
                <w:rFonts w:ascii="Bookman Old Style" w:eastAsia="Montserrat" w:hAnsi="Bookman Old Style" w:cs="Montserrat"/>
                <w:b/>
                <w:u w:val="single"/>
              </w:rPr>
            </w:pPr>
            <w:r w:rsidRPr="00AF1292">
              <w:rPr>
                <w:rFonts w:ascii="Bookman Old Style" w:eastAsia="Montserrat" w:hAnsi="Bookman Old Style" w:cs="Montserrat"/>
                <w:b/>
                <w:u w:val="single"/>
              </w:rPr>
              <w:t>incentiven el desarrollo de tecnologías y políticas públicas contra la suplantación de</w:t>
            </w:r>
          </w:p>
          <w:p w:rsidR="00AA558C" w:rsidRPr="00AF1292" w:rsidRDefault="005A0A26">
            <w:pPr>
              <w:widowControl w:val="0"/>
              <w:jc w:val="both"/>
              <w:rPr>
                <w:rFonts w:ascii="Bookman Old Style" w:eastAsia="Montserrat" w:hAnsi="Bookman Old Style" w:cs="Montserrat"/>
                <w:b/>
                <w:u w:val="single"/>
              </w:rPr>
            </w:pPr>
            <w:r w:rsidRPr="00AF1292">
              <w:rPr>
                <w:rFonts w:ascii="Bookman Old Style" w:eastAsia="Montserrat" w:hAnsi="Bookman Old Style" w:cs="Montserrat"/>
                <w:b/>
                <w:u w:val="single"/>
              </w:rPr>
              <w:t>identidad y deepfakes.</w:t>
            </w:r>
          </w:p>
          <w:p w:rsidR="00AA558C" w:rsidRPr="00AF1292" w:rsidRDefault="00AA558C">
            <w:pPr>
              <w:widowControl w:val="0"/>
              <w:jc w:val="both"/>
              <w:rPr>
                <w:rFonts w:ascii="Bookman Old Style" w:eastAsia="Montserrat" w:hAnsi="Bookman Old Style" w:cs="Montserrat"/>
                <w:b/>
                <w:u w:val="single"/>
              </w:rPr>
            </w:pPr>
          </w:p>
          <w:p w:rsidR="00AA558C" w:rsidRPr="00AF1292" w:rsidRDefault="005A0A26">
            <w:pPr>
              <w:widowControl w:val="0"/>
              <w:spacing w:before="240"/>
              <w:jc w:val="both"/>
              <w:rPr>
                <w:rFonts w:ascii="Bookman Old Style" w:eastAsia="Montserrat" w:hAnsi="Bookman Old Style" w:cs="Montserrat"/>
                <w:strike/>
              </w:rPr>
            </w:pPr>
            <w:r w:rsidRPr="00AF1292">
              <w:rPr>
                <w:rFonts w:ascii="Bookman Old Style" w:eastAsia="Montserrat" w:hAnsi="Bookman Old Style" w:cs="Montserrat"/>
              </w:rPr>
              <w:t>Parágrafo. El Gobierno Nacional y la Fiscalía General de la Nación, contarán con un plazo de dos (2) años para la formulación de las acciones e iniciativas dispuestos en el presente artículo.</w:t>
            </w:r>
          </w:p>
          <w:p w:rsidR="00AA558C" w:rsidRPr="00AF1292" w:rsidRDefault="00AA558C">
            <w:pPr>
              <w:widowControl w:val="0"/>
              <w:jc w:val="both"/>
              <w:rPr>
                <w:rFonts w:ascii="Bookman Old Style" w:eastAsia="Montserrat" w:hAnsi="Bookman Old Style" w:cs="Montserrat"/>
              </w:rPr>
            </w:pPr>
          </w:p>
        </w:tc>
        <w:tc>
          <w:tcPr>
            <w:tcW w:w="267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b/>
              </w:rPr>
            </w:pPr>
            <w:r w:rsidRPr="00AF1292">
              <w:rPr>
                <w:rFonts w:ascii="Bookman Old Style" w:eastAsia="Montserrat" w:hAnsi="Bookman Old Style" w:cs="Montserrat"/>
              </w:rPr>
              <w:lastRenderedPageBreak/>
              <w:t xml:space="preserve">Se modifica el artículo 4, conforme a la proposición presentada por la Senadora Soledad Tamayo, en la cual se agregó </w:t>
            </w:r>
            <w:r w:rsidRPr="00AF1292">
              <w:rPr>
                <w:rFonts w:ascii="Bookman Old Style" w:eastAsia="Montserrat" w:hAnsi="Bookman Old Style" w:cs="Montserrat"/>
                <w:b/>
              </w:rPr>
              <w:t>la disposición sobre relaciones internacionales.</w:t>
            </w:r>
          </w:p>
          <w:p w:rsidR="00AA558C" w:rsidRPr="00AF1292" w:rsidRDefault="00AA558C">
            <w:pPr>
              <w:jc w:val="both"/>
              <w:rPr>
                <w:rFonts w:ascii="Bookman Old Style" w:eastAsia="Montserrat" w:hAnsi="Bookman Old Style" w:cs="Montserrat"/>
                <w:b/>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b/>
              </w:rPr>
              <w:t xml:space="preserve">- </w:t>
            </w:r>
            <w:r w:rsidRPr="00AF1292">
              <w:rPr>
                <w:rFonts w:ascii="Bookman Old Style" w:eastAsia="Montserrat" w:hAnsi="Bookman Old Style" w:cs="Montserrat"/>
              </w:rPr>
              <w:t xml:space="preserve">Al igual que en los anteriores artículos, se </w:t>
            </w:r>
            <w:r w:rsidRPr="00AF1292">
              <w:rPr>
                <w:rFonts w:ascii="Bookman Old Style" w:eastAsia="Montserrat" w:hAnsi="Bookman Old Style" w:cs="Montserrat"/>
              </w:rPr>
              <w:lastRenderedPageBreak/>
              <w:t xml:space="preserve">retira la palabra “Sistemas </w:t>
            </w:r>
            <w:proofErr w:type="gramStart"/>
            <w:r w:rsidRPr="00AF1292">
              <w:rPr>
                <w:rFonts w:ascii="Bookman Old Style" w:eastAsia="Montserrat" w:hAnsi="Bookman Old Style" w:cs="Montserrat"/>
              </w:rPr>
              <w:t>de ”</w:t>
            </w:r>
            <w:proofErr w:type="gramEnd"/>
            <w:r w:rsidRPr="00AF1292">
              <w:rPr>
                <w:rFonts w:ascii="Bookman Old Style" w:eastAsia="Montserrat" w:hAnsi="Bookman Old Style" w:cs="Montserrat"/>
              </w:rPr>
              <w:t xml:space="preserve">.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  En la disposición de Marco Ético, se elimina la palabra legal, en razón que es una competencia de la Rama Legislativa y no del ejecutivo. </w:t>
            </w:r>
          </w:p>
          <w:p w:rsidR="00AA558C" w:rsidRPr="00AF1292" w:rsidRDefault="00AA558C">
            <w:pPr>
              <w:jc w:val="both"/>
              <w:rPr>
                <w:rFonts w:ascii="Bookman Old Style" w:eastAsia="Montserrat" w:hAnsi="Bookman Old Style" w:cs="Montserrat"/>
              </w:rPr>
            </w:pPr>
          </w:p>
          <w:p w:rsidR="00AA558C"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Adicional a lo anterior, se elimina el numeral quinto, relacionado con el tema de infraestructura de datos, teniendo en cuenta que en la actualidad se encuentran cursando otras iniciativas legislativas enfocadas en este tema. </w:t>
            </w:r>
          </w:p>
          <w:p w:rsidR="003D334C" w:rsidRDefault="003D334C">
            <w:pPr>
              <w:jc w:val="both"/>
              <w:rPr>
                <w:rFonts w:ascii="Bookman Old Style" w:eastAsia="Montserrat" w:hAnsi="Bookman Old Style" w:cs="Montserrat"/>
              </w:rPr>
            </w:pPr>
          </w:p>
          <w:p w:rsidR="003D334C" w:rsidRPr="00AF1292" w:rsidRDefault="003D334C">
            <w:pPr>
              <w:jc w:val="both"/>
              <w:rPr>
                <w:rFonts w:ascii="Bookman Old Style" w:eastAsia="Montserrat" w:hAnsi="Bookman Old Style" w:cs="Montserrat"/>
              </w:rPr>
            </w:pPr>
            <w:r>
              <w:rPr>
                <w:rFonts w:ascii="Bookman Old Style" w:eastAsia="Montserrat" w:hAnsi="Bookman Old Style" w:cs="Montserrat"/>
              </w:rPr>
              <w:t>Se corrige la numeración.</w:t>
            </w:r>
          </w:p>
        </w:tc>
      </w:tr>
      <w:tr w:rsidR="00AA558C" w:rsidRPr="00AF1292">
        <w:tc>
          <w:tcPr>
            <w:tcW w:w="294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b/>
              </w:rPr>
              <w:lastRenderedPageBreak/>
              <w:t>Artículo 5. Vigencia y derogatorias</w:t>
            </w:r>
            <w:r w:rsidRPr="00AF1292">
              <w:rPr>
                <w:rFonts w:ascii="Bookman Old Style" w:eastAsia="Montserrat" w:hAnsi="Bookman Old Style" w:cs="Montserrat"/>
              </w:rPr>
              <w:t>: La presente Ley rige a partir de su sanción, promulgación y publicación en el Diario Oficial y deroga las disposiciones que le sean contrarias.</w:t>
            </w:r>
          </w:p>
        </w:tc>
        <w:tc>
          <w:tcPr>
            <w:tcW w:w="2925"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b/>
                <w:u w:val="single"/>
              </w:rPr>
            </w:pPr>
            <w:r w:rsidRPr="00AF1292">
              <w:rPr>
                <w:rFonts w:ascii="Bookman Old Style" w:eastAsia="Montserrat" w:hAnsi="Bookman Old Style" w:cs="Montserrat"/>
                <w:b/>
              </w:rPr>
              <w:t>Artículo 5. Vigencia y derogatorias</w:t>
            </w:r>
            <w:r w:rsidRPr="00AF1292">
              <w:rPr>
                <w:rFonts w:ascii="Bookman Old Style" w:eastAsia="Montserrat" w:hAnsi="Bookman Old Style" w:cs="Montserrat"/>
              </w:rPr>
              <w:t xml:space="preserve">: La presente Ley rige a partir de su sanción, promulgación y publicación en el Diario Oficial y deroga las disposiciones que le sean contrarias. </w:t>
            </w:r>
            <w:r w:rsidRPr="00AF1292">
              <w:rPr>
                <w:rFonts w:ascii="Bookman Old Style" w:eastAsia="Montserrat" w:hAnsi="Bookman Old Style" w:cs="Montserrat"/>
                <w:b/>
                <w:u w:val="single"/>
              </w:rPr>
              <w:t>La modificación del artículo 296 de la Ley 599 de 2000, establecida en esta ley, comenzará a regir un (1) año después de su sanción y promulgación.</w:t>
            </w:r>
          </w:p>
          <w:p w:rsidR="00AA558C" w:rsidRPr="00AF1292" w:rsidRDefault="00AA558C">
            <w:pPr>
              <w:jc w:val="both"/>
              <w:rPr>
                <w:rFonts w:ascii="Bookman Old Style" w:eastAsia="Montserrat" w:hAnsi="Bookman Old Style" w:cs="Montserrat"/>
              </w:rPr>
            </w:pPr>
          </w:p>
        </w:tc>
        <w:tc>
          <w:tcPr>
            <w:tcW w:w="2670" w:type="dxa"/>
            <w:shd w:val="clear" w:color="auto" w:fill="auto"/>
            <w:tcMar>
              <w:top w:w="100" w:type="dxa"/>
              <w:left w:w="100" w:type="dxa"/>
              <w:bottom w:w="100" w:type="dxa"/>
              <w:right w:w="100" w:type="dxa"/>
            </w:tcMar>
          </w:tcPr>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Se realiza una modificación frente a la vigencia, en la cual se agrega que el artículo 3 de la iniciativa </w:t>
            </w:r>
            <w:proofErr w:type="gramStart"/>
            <w:r w:rsidRPr="00AF1292">
              <w:rPr>
                <w:rFonts w:ascii="Bookman Old Style" w:eastAsia="Montserrat" w:hAnsi="Bookman Old Style" w:cs="Montserrat"/>
              </w:rPr>
              <w:t>legislativa,  inicia</w:t>
            </w:r>
            <w:proofErr w:type="gramEnd"/>
            <w:r w:rsidRPr="00AF1292">
              <w:rPr>
                <w:rFonts w:ascii="Bookman Old Style" w:eastAsia="Montserrat" w:hAnsi="Bookman Old Style" w:cs="Montserrat"/>
              </w:rPr>
              <w:t xml:space="preserve"> a partir de 1 año después de la sanción y promulgación.</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Lo anterior conforme a la proposición presentada por el HS Carlos Chacón </w:t>
            </w:r>
          </w:p>
        </w:tc>
      </w:tr>
    </w:tbl>
    <w:p w:rsidR="00AA558C" w:rsidRPr="00AF1292" w:rsidRDefault="00AA558C">
      <w:pPr>
        <w:rPr>
          <w:rFonts w:ascii="Bookman Old Style" w:eastAsia="Montserrat" w:hAnsi="Bookman Old Style" w:cs="Montserrat"/>
          <w:b/>
        </w:rPr>
      </w:pPr>
    </w:p>
    <w:p w:rsidR="00AA558C" w:rsidRPr="00AF1292" w:rsidRDefault="00AA558C">
      <w:pPr>
        <w:rPr>
          <w:rFonts w:ascii="Bookman Old Style" w:eastAsia="Montserrat" w:hAnsi="Bookman Old Style" w:cs="Montserrat"/>
          <w:b/>
        </w:rPr>
      </w:pPr>
    </w:p>
    <w:p w:rsidR="00AA558C" w:rsidRPr="00AF1292" w:rsidRDefault="005A0A26">
      <w:pPr>
        <w:numPr>
          <w:ilvl w:val="0"/>
          <w:numId w:val="1"/>
        </w:numPr>
        <w:rPr>
          <w:rFonts w:ascii="Bookman Old Style" w:eastAsia="Montserrat" w:hAnsi="Bookman Old Style" w:cs="Montserrat"/>
          <w:b/>
        </w:rPr>
      </w:pPr>
      <w:r w:rsidRPr="00AF1292">
        <w:rPr>
          <w:rFonts w:ascii="Bookman Old Style" w:eastAsia="Montserrat" w:hAnsi="Bookman Old Style" w:cs="Montserrat"/>
          <w:b/>
        </w:rPr>
        <w:t>Causales de Impedimento</w:t>
      </w:r>
    </w:p>
    <w:p w:rsidR="00AA558C" w:rsidRPr="00AF1292" w:rsidRDefault="00AA558C">
      <w:pPr>
        <w:rPr>
          <w:rFonts w:ascii="Bookman Old Style" w:eastAsia="Montserrat" w:hAnsi="Bookman Old Style" w:cs="Montserrat"/>
          <w:b/>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Dando alcance a lo establecido en el artículo 3 de la Ley 2003 de 2019, </w:t>
      </w:r>
      <w:proofErr w:type="gramStart"/>
      <w:r w:rsidRPr="00AF1292">
        <w:rPr>
          <w:rFonts w:ascii="Bookman Old Style" w:eastAsia="Montserrat" w:hAnsi="Bookman Old Style" w:cs="Montserrat"/>
        </w:rPr>
        <w:t>“ Por</w:t>
      </w:r>
      <w:proofErr w:type="gramEnd"/>
      <w:r w:rsidRPr="00AF1292">
        <w:rPr>
          <w:rFonts w:ascii="Bookman Old Style" w:eastAsia="Montserrat" w:hAnsi="Bookman Old Style" w:cs="Montserrat"/>
        </w:rPr>
        <w:t xml:space="preserve"> la cual se modifica parcialmente la Ley 5 de 1992”, se hacen las siguientes consideraciones </w:t>
      </w:r>
      <w:r w:rsidRPr="00AF1292">
        <w:rPr>
          <w:rFonts w:ascii="Bookman Old Style" w:eastAsia="Montserrat" w:hAnsi="Bookman Old Style" w:cs="Montserrat"/>
        </w:rPr>
        <w:lastRenderedPageBreak/>
        <w:t xml:space="preserve">a fin de describir las circunstancias o eventos que podrían generar conflicto de interés en la discusión y votación de la presente iniciativa legislativa, de conformidad con el artículo 286 de la Ley 5 de 1992, modificado por el artículo 1 de la Ley 2003 de 2019, a saber: </w:t>
      </w:r>
    </w:p>
    <w:p w:rsidR="00AA558C" w:rsidRPr="00AF1292" w:rsidRDefault="00AA558C">
      <w:pPr>
        <w:jc w:val="both"/>
        <w:rPr>
          <w:rFonts w:ascii="Bookman Old Style" w:eastAsia="Montserrat" w:hAnsi="Bookman Old Style" w:cs="Montserrat"/>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w:t>
      </w:r>
      <w:r w:rsidRPr="00AF1292">
        <w:rPr>
          <w:rFonts w:ascii="Bookman Old Style" w:eastAsia="Montserrat" w:hAnsi="Bookman Old Style" w:cs="Montserrat"/>
          <w:b/>
          <w:i/>
        </w:rPr>
        <w:t xml:space="preserve">ARTÍCULO 286. Régimen de conflicto de interés de los congresistas. </w:t>
      </w:r>
      <w:r w:rsidRPr="00AF1292">
        <w:rPr>
          <w:rFonts w:ascii="Bookman Old Style" w:eastAsia="Montserrat" w:hAnsi="Bookman Old Style" w:cs="Montserrat"/>
          <w:i/>
        </w:rPr>
        <w:t>Todos los congresistas deberán declarar los conflictos de intereses que pudieran surgir en el ejercicio de sus funciones.</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Se entiende como conflicto de interés una situación donde la discusión o votación de un proyecto de ley o acto legislativo o artículo, pueda resultar en un beneficio particular, actual y directo a favor del congresista.</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b/>
          <w:i/>
        </w:rPr>
        <w:t xml:space="preserve">a) Beneficio particular: </w:t>
      </w:r>
      <w:r w:rsidRPr="00AF1292">
        <w:rPr>
          <w:rFonts w:ascii="Bookman Old Style" w:eastAsia="Montserrat" w:hAnsi="Bookman Old Style" w:cs="Montserrat"/>
          <w:i/>
        </w:rPr>
        <w:t>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b/>
          <w:i/>
        </w:rPr>
        <w:t xml:space="preserve">b) Beneficio actual: </w:t>
      </w:r>
      <w:r w:rsidRPr="00AF1292">
        <w:rPr>
          <w:rFonts w:ascii="Bookman Old Style" w:eastAsia="Montserrat" w:hAnsi="Bookman Old Style" w:cs="Montserrat"/>
          <w:i/>
        </w:rPr>
        <w:t>aquel que efectivamente se configura en las circunstancias presentes y existentes al momento en el que el congresista participa de la decisión.</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b/>
          <w:i/>
        </w:rPr>
        <w:t xml:space="preserve">c) Beneficio directo: </w:t>
      </w:r>
      <w:r w:rsidRPr="00AF1292">
        <w:rPr>
          <w:rFonts w:ascii="Bookman Old Style" w:eastAsia="Montserrat" w:hAnsi="Bookman Old Style" w:cs="Montserrat"/>
          <w:i/>
        </w:rPr>
        <w:t>aquel que se produzca de forma específica respecto del congresista, de su cónyuge, compañero o compañera permanente, o parientes dentro del segundo grado de consanguinidad, segundo de afinidad o primero civil.</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 xml:space="preserve">Para todos los efectos se entiende que </w:t>
      </w:r>
      <w:r w:rsidRPr="00AF1292">
        <w:rPr>
          <w:rFonts w:ascii="Bookman Old Style" w:eastAsia="Montserrat" w:hAnsi="Bookman Old Style" w:cs="Montserrat"/>
          <w:b/>
          <w:i/>
          <w:u w:val="single"/>
        </w:rPr>
        <w:t>no hay conflicto de interés</w:t>
      </w:r>
      <w:r w:rsidRPr="00AF1292">
        <w:rPr>
          <w:rFonts w:ascii="Bookman Old Style" w:eastAsia="Montserrat" w:hAnsi="Bookman Old Style" w:cs="Montserrat"/>
          <w:i/>
        </w:rPr>
        <w:t xml:space="preserve"> en las siguientes circunstancias:</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a) Cuando el congresista participe, discuta, vote un proyecto de Ley o de acto legislativo que otorgue beneficios o cargos de carácter general, es decir cuando el interés del congresista coincide o se fusione con los intereses de los electores.</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b) Cuando el beneficio podría o no configurarse para el congresista en el futuro.</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 xml:space="preserve">e) Cuando el congresista participe, discuta o vote artículos de proyectos de ley o acto legislativo que tratan sobre los sectores económicos de quienes fueron financiadores </w:t>
      </w:r>
      <w:r w:rsidRPr="00AF1292">
        <w:rPr>
          <w:rFonts w:ascii="Bookman Old Style" w:eastAsia="Montserrat" w:hAnsi="Bookman Old Style" w:cs="Montserrat"/>
          <w:i/>
        </w:rPr>
        <w:lastRenderedPageBreak/>
        <w:t>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f) Cuando el congresista participa en la elección de otros servidores públicos mediante el voto secreto. Se exceptúan los casos en que se presenten inhabilidades referidas al parentesco con los candidatos.</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PARÁGRAFO 1. Entiéndase por conflicto de interés moral aquel que presentan los congresistas cuando por razones de conciencia se quieran apartar de la discusión y votación del proyecto.</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 xml:space="preserve">PARÁGRAFO 2. Cuando se trate de funciones judiciales, disciplinarias o fiscales de los congresistas, sobre conflicto de interés se aplicará la norma especial que rige ese tipo de investigación. </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i/>
        </w:rPr>
      </w:pPr>
      <w:r w:rsidRPr="00AF1292">
        <w:rPr>
          <w:rFonts w:ascii="Bookman Old Style" w:eastAsia="Montserrat" w:hAnsi="Bookman Old Style" w:cs="Montserrat"/>
          <w:i/>
        </w:rPr>
        <w:t xml:space="preserve">PARÁGRAFO 3. Igualmente se aplicará el régimen de conflicto de intereses para todos y cada uno de los actores que presenten, discutan o participen de cualquier iniciativa legislativa, conforme al artículo 140 de la Ley 5 de 1992.” </w:t>
      </w:r>
    </w:p>
    <w:p w:rsidR="00AA558C" w:rsidRPr="00AF1292" w:rsidRDefault="00AA558C">
      <w:pPr>
        <w:jc w:val="both"/>
        <w:rPr>
          <w:rFonts w:ascii="Bookman Old Style" w:eastAsia="Montserrat" w:hAnsi="Bookman Old Style" w:cs="Montserrat"/>
          <w:i/>
        </w:rPr>
      </w:pP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rPr>
        <w:t xml:space="preserve">Por lo anterior, el presente proyecto de ley no genera conflictos de interés para su discusión y votación, es un proyecto de carácter general que no crea un beneficio particular, actual y directo. No </w:t>
      </w:r>
      <w:proofErr w:type="gramStart"/>
      <w:r w:rsidRPr="00AF1292">
        <w:rPr>
          <w:rFonts w:ascii="Bookman Old Style" w:eastAsia="Montserrat" w:hAnsi="Bookman Old Style" w:cs="Montserrat"/>
        </w:rPr>
        <w:t>obstante</w:t>
      </w:r>
      <w:proofErr w:type="gramEnd"/>
      <w:r w:rsidRPr="00AF1292">
        <w:rPr>
          <w:rFonts w:ascii="Bookman Old Style" w:eastAsia="Montserrat" w:hAnsi="Bookman Old Style" w:cs="Montserrat"/>
        </w:rPr>
        <w:t xml:space="preserve"> lo anterior,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rsidR="00AA558C" w:rsidRPr="00AF1292" w:rsidRDefault="00AA558C">
      <w:pPr>
        <w:jc w:val="both"/>
        <w:rPr>
          <w:rFonts w:ascii="Bookman Old Style" w:eastAsia="Montserrat" w:hAnsi="Bookman Old Style" w:cs="Montserrat"/>
        </w:rPr>
      </w:pPr>
    </w:p>
    <w:p w:rsidR="00AA558C" w:rsidRPr="00AF1292" w:rsidRDefault="00AA558C">
      <w:pPr>
        <w:jc w:val="both"/>
        <w:rPr>
          <w:rFonts w:ascii="Bookman Old Style" w:eastAsia="Montserrat" w:hAnsi="Bookman Old Style" w:cs="Montserrat"/>
        </w:rPr>
      </w:pPr>
    </w:p>
    <w:p w:rsidR="00AA558C" w:rsidRPr="00AF1292" w:rsidRDefault="00D74E35">
      <w:pPr>
        <w:numPr>
          <w:ilvl w:val="0"/>
          <w:numId w:val="1"/>
        </w:numPr>
        <w:jc w:val="both"/>
        <w:rPr>
          <w:rFonts w:ascii="Bookman Old Style" w:eastAsia="Montserrat" w:hAnsi="Bookman Old Style" w:cs="Montserrat"/>
          <w:b/>
        </w:rPr>
      </w:pPr>
      <w:r w:rsidRPr="00AF1292">
        <w:rPr>
          <w:rFonts w:ascii="Bookman Old Style" w:eastAsia="Montserrat" w:hAnsi="Bookman Old Style" w:cs="Montserrat"/>
          <w:b/>
        </w:rPr>
        <w:t>Proposición</w:t>
      </w:r>
    </w:p>
    <w:p w:rsidR="00AA558C" w:rsidRPr="00AF1292" w:rsidRDefault="00AA558C">
      <w:pPr>
        <w:rPr>
          <w:rFonts w:ascii="Bookman Old Style" w:eastAsia="Montserrat" w:hAnsi="Bookman Old Style" w:cs="Montserrat"/>
        </w:rPr>
      </w:pPr>
    </w:p>
    <w:p w:rsidR="00AA558C" w:rsidRPr="00AF1292" w:rsidRDefault="00D74E35" w:rsidP="00B95250">
      <w:pPr>
        <w:jc w:val="both"/>
        <w:rPr>
          <w:rFonts w:ascii="Bookman Old Style" w:hAnsi="Bookman Old Style"/>
          <w:lang w:val="es-CO"/>
        </w:rPr>
      </w:pPr>
      <w:r w:rsidRPr="00AF1292">
        <w:rPr>
          <w:rFonts w:ascii="Bookman Old Style" w:hAnsi="Bookman Old Style"/>
          <w:lang w:val="es-CO"/>
        </w:rPr>
        <w:t xml:space="preserve">Considerando los argumentos expuestos y en cumplimiento de los requisitos establecidos en la Ley 5 de 1992, presentamos enmienda al informe de ponencia </w:t>
      </w:r>
      <w:r w:rsidR="00B95250" w:rsidRPr="00AF1292">
        <w:rPr>
          <w:rFonts w:ascii="Bookman Old Style" w:hAnsi="Bookman Old Style"/>
          <w:lang w:val="es-CO"/>
        </w:rPr>
        <w:t xml:space="preserve">positivo </w:t>
      </w:r>
      <w:r w:rsidRPr="00AF1292">
        <w:rPr>
          <w:rFonts w:ascii="Bookman Old Style" w:hAnsi="Bookman Old Style"/>
          <w:lang w:val="es-CO"/>
        </w:rPr>
        <w:t xml:space="preserve">y, en consecuencia, </w:t>
      </w:r>
      <w:r w:rsidR="00B95250" w:rsidRPr="00AF1292">
        <w:rPr>
          <w:rFonts w:ascii="Bookman Old Style" w:hAnsi="Bookman Old Style"/>
        </w:rPr>
        <w:t xml:space="preserve">propongo a los miembros de la Comisión Primera de la Cámara de Representantes </w:t>
      </w:r>
      <w:r w:rsidR="00B95250" w:rsidRPr="00AF1292">
        <w:rPr>
          <w:rFonts w:ascii="Bookman Old Style" w:hAnsi="Bookman Old Style"/>
          <w:b/>
        </w:rPr>
        <w:t xml:space="preserve">DAR PRIMER DEBATE, </w:t>
      </w:r>
      <w:r w:rsidR="00B95250" w:rsidRPr="00AF1292">
        <w:rPr>
          <w:rFonts w:ascii="Bookman Old Style" w:hAnsi="Bookman Old Style"/>
        </w:rPr>
        <w:t xml:space="preserve">al Proyecto de Ley N° 360 de 2024 Cámara - No. 225 de 2024 </w:t>
      </w:r>
      <w:r w:rsidR="00B95250" w:rsidRPr="00AF1292">
        <w:rPr>
          <w:rFonts w:ascii="Bookman Old Style" w:hAnsi="Bookman Old Style"/>
          <w:i/>
        </w:rPr>
        <w:t xml:space="preserve">“POR MEDIO DEL CUAL SE MODIFICA Y ESTABLECE UN AGRAVANTE AL ARTÍCULO 296 DE LA LEY 599 DEL 2000, CÓDIGO PENAL COLOMBIANO Y SE DICTAN OTRAS DISPOSICIONES” </w:t>
      </w:r>
      <w:r w:rsidR="00B95250" w:rsidRPr="00AF1292">
        <w:rPr>
          <w:rFonts w:ascii="Bookman Old Style" w:hAnsi="Bookman Old Style"/>
        </w:rPr>
        <w:t xml:space="preserve">para que haga su tránsito legislativo y se convierta en Ley de la República, </w:t>
      </w:r>
      <w:r w:rsidR="00B95250" w:rsidRPr="00AF1292">
        <w:rPr>
          <w:rFonts w:ascii="Bookman Old Style" w:hAnsi="Bookman Old Style"/>
          <w:lang w:val="es-CO"/>
        </w:rPr>
        <w:t>de conformidad con el texto propuesto.</w:t>
      </w:r>
    </w:p>
    <w:p w:rsidR="00B95250" w:rsidRDefault="00B95250" w:rsidP="00B95250">
      <w:pPr>
        <w:jc w:val="both"/>
        <w:rPr>
          <w:rFonts w:ascii="Bookman Old Style" w:hAnsi="Bookman Old Style"/>
          <w:lang w:val="es-CO"/>
        </w:rPr>
      </w:pPr>
    </w:p>
    <w:p w:rsidR="00AF1292" w:rsidRPr="00AF1292" w:rsidRDefault="00AF1292" w:rsidP="00B95250">
      <w:pPr>
        <w:jc w:val="both"/>
        <w:rPr>
          <w:rFonts w:ascii="Bookman Old Style" w:hAnsi="Bookman Old Style"/>
          <w:lang w:val="es-CO"/>
        </w:rPr>
      </w:pPr>
    </w:p>
    <w:p w:rsidR="00B95250" w:rsidRPr="00AF1292" w:rsidRDefault="00B95250" w:rsidP="00B95250">
      <w:pPr>
        <w:jc w:val="both"/>
        <w:rPr>
          <w:rFonts w:ascii="Bookman Old Style" w:hAnsi="Bookman Old Style"/>
        </w:rPr>
      </w:pPr>
    </w:p>
    <w:p w:rsidR="00B95250" w:rsidRPr="00AF1292" w:rsidRDefault="00B95250" w:rsidP="00B95250">
      <w:pPr>
        <w:jc w:val="center"/>
        <w:rPr>
          <w:rFonts w:ascii="Bookman Old Style" w:hAnsi="Bookman Old Style"/>
          <w:b/>
        </w:rPr>
      </w:pPr>
      <w:r w:rsidRPr="00AF1292">
        <w:rPr>
          <w:rFonts w:ascii="Bookman Old Style" w:hAnsi="Bookman Old Style"/>
          <w:b/>
        </w:rPr>
        <w:t>MARELEN CASTILLO TORRES</w:t>
      </w:r>
    </w:p>
    <w:p w:rsidR="00AF1292" w:rsidRPr="00AF1292" w:rsidRDefault="00B95250" w:rsidP="00AF1292">
      <w:pPr>
        <w:jc w:val="center"/>
        <w:rPr>
          <w:rFonts w:ascii="Bookman Old Style" w:hAnsi="Bookman Old Style"/>
          <w:b/>
        </w:rPr>
      </w:pPr>
      <w:r w:rsidRPr="00AF1292">
        <w:rPr>
          <w:rFonts w:ascii="Bookman Old Style" w:hAnsi="Bookman Old Style"/>
          <w:b/>
        </w:rPr>
        <w:t>Representante a la Cámara</w:t>
      </w:r>
    </w:p>
    <w:p w:rsidR="00D939F0" w:rsidRDefault="00D939F0" w:rsidP="00E42F84">
      <w:pPr>
        <w:jc w:val="center"/>
        <w:rPr>
          <w:rFonts w:ascii="Bookman Old Style" w:eastAsia="Montserrat" w:hAnsi="Bookman Old Style" w:cs="Montserrat"/>
          <w:b/>
        </w:rPr>
      </w:pPr>
    </w:p>
    <w:p w:rsidR="00D939F0" w:rsidRDefault="00D939F0" w:rsidP="00D939F0">
      <w:pPr>
        <w:pStyle w:val="Prrafodelista"/>
        <w:numPr>
          <w:ilvl w:val="0"/>
          <w:numId w:val="1"/>
        </w:numPr>
        <w:rPr>
          <w:rFonts w:ascii="Bookman Old Style" w:eastAsia="Montserrat" w:hAnsi="Bookman Old Style" w:cs="Montserrat"/>
          <w:b/>
        </w:rPr>
      </w:pPr>
      <w:r w:rsidRPr="00D939F0">
        <w:rPr>
          <w:rFonts w:ascii="Bookman Old Style" w:eastAsia="Montserrat" w:hAnsi="Bookman Old Style" w:cs="Montserrat"/>
          <w:b/>
        </w:rPr>
        <w:lastRenderedPageBreak/>
        <w:t>TEXTO PROPUESTO PARA PRIMER DEBATE EN COMISIÓN PRIMERA DE CÁMARA DE REPRESENTANTES:</w:t>
      </w:r>
    </w:p>
    <w:p w:rsidR="00D939F0" w:rsidRDefault="00D939F0" w:rsidP="00D939F0">
      <w:pPr>
        <w:rPr>
          <w:rFonts w:ascii="Bookman Old Style" w:eastAsia="Montserrat" w:hAnsi="Bookman Old Style" w:cs="Montserrat"/>
          <w:b/>
        </w:rPr>
      </w:pPr>
    </w:p>
    <w:p w:rsidR="00E42F84" w:rsidRPr="00AF1292" w:rsidRDefault="00E42F84" w:rsidP="00E42F84">
      <w:pPr>
        <w:jc w:val="center"/>
        <w:rPr>
          <w:rFonts w:ascii="Bookman Old Style" w:eastAsia="Montserrat" w:hAnsi="Bookman Old Style" w:cs="Montserrat"/>
          <w:b/>
        </w:rPr>
      </w:pPr>
      <w:r w:rsidRPr="00AF1292">
        <w:rPr>
          <w:rFonts w:ascii="Bookman Old Style" w:eastAsia="Montserrat" w:hAnsi="Bookman Old Style" w:cs="Montserrat"/>
          <w:b/>
        </w:rPr>
        <w:t>PROYECTO DE LEY N° 360 DE 2024 CÁMARA - Nº 225 DE 2024 SENADO “POR MEDIO DEL CUAL SE MODIFICA Y ESTABLECE UN AGRAVANTE AL ARTÍCULO 296 DE LA LEY 599 DEL 2000, CÓDIGO PENAL COLOMBIANO Y SE DICTAN OTRAS DISPOSICIONES”.</w:t>
      </w:r>
    </w:p>
    <w:p w:rsidR="00AA558C" w:rsidRDefault="00AA558C">
      <w:pPr>
        <w:jc w:val="center"/>
        <w:rPr>
          <w:rFonts w:ascii="Bookman Old Style" w:eastAsia="Montserrat" w:hAnsi="Bookman Old Style" w:cs="Montserrat"/>
        </w:rPr>
      </w:pPr>
    </w:p>
    <w:p w:rsidR="00D939F0" w:rsidRDefault="00D939F0" w:rsidP="00D939F0">
      <w:pPr>
        <w:jc w:val="center"/>
        <w:rPr>
          <w:rFonts w:ascii="Bookman Old Style" w:eastAsia="Montserrat" w:hAnsi="Bookman Old Style" w:cs="Montserrat"/>
          <w:b/>
        </w:rPr>
      </w:pPr>
      <w:r>
        <w:rPr>
          <w:rFonts w:ascii="Bookman Old Style" w:eastAsia="Montserrat" w:hAnsi="Bookman Old Style" w:cs="Montserrat"/>
          <w:b/>
        </w:rPr>
        <w:t>EL CONGRESO DE LA REPÚBLICA</w:t>
      </w:r>
    </w:p>
    <w:p w:rsidR="00D939F0" w:rsidRDefault="00D939F0" w:rsidP="00D939F0">
      <w:pPr>
        <w:jc w:val="center"/>
        <w:rPr>
          <w:rFonts w:ascii="Bookman Old Style" w:eastAsia="Montserrat" w:hAnsi="Bookman Old Style" w:cs="Montserrat"/>
          <w:b/>
        </w:rPr>
      </w:pPr>
    </w:p>
    <w:p w:rsidR="00D939F0" w:rsidRPr="00D939F0" w:rsidRDefault="00D939F0" w:rsidP="00D939F0">
      <w:pPr>
        <w:jc w:val="center"/>
        <w:rPr>
          <w:rFonts w:ascii="Bookman Old Style" w:eastAsia="Montserrat" w:hAnsi="Bookman Old Style" w:cs="Montserrat"/>
          <w:b/>
        </w:rPr>
      </w:pPr>
      <w:r>
        <w:rPr>
          <w:rFonts w:ascii="Bookman Old Style" w:eastAsia="Montserrat" w:hAnsi="Bookman Old Style" w:cs="Montserrat"/>
          <w:b/>
        </w:rPr>
        <w:t>DECRETA</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b/>
        </w:rPr>
      </w:pPr>
      <w:r w:rsidRPr="00AF1292">
        <w:rPr>
          <w:rFonts w:ascii="Bookman Old Style" w:eastAsia="Montserrat" w:hAnsi="Bookman Old Style" w:cs="Montserrat"/>
          <w:b/>
        </w:rPr>
        <w:t>ARTÍCULO 1: OBJETO.</w:t>
      </w:r>
      <w:r w:rsidRPr="00AF1292">
        <w:rPr>
          <w:rFonts w:ascii="Bookman Old Style" w:eastAsia="Montserrat" w:hAnsi="Bookman Old Style" w:cs="Montserrat"/>
        </w:rPr>
        <w:t xml:space="preserve"> La presente Ley tiene por objeto modificar y establecer un agravante al artículo 296 de la Ley 599 del 2000 - Código Penal Colombiano - referente al delito de falsedad personal para la modalidad de suplantación utilizando Inteligencia Artificial –IA-</w:t>
      </w:r>
      <w:r w:rsidRPr="00AF1292">
        <w:rPr>
          <w:rFonts w:ascii="Bookman Old Style" w:eastAsia="Montserrat" w:hAnsi="Bookman Old Style" w:cs="Montserrat"/>
          <w:b/>
        </w:rPr>
        <w:t xml:space="preserve">. </w:t>
      </w:r>
    </w:p>
    <w:p w:rsidR="00AA558C" w:rsidRPr="00AF1292" w:rsidRDefault="00AA558C">
      <w:pPr>
        <w:widowControl w:val="0"/>
        <w:jc w:val="both"/>
        <w:rPr>
          <w:rFonts w:ascii="Bookman Old Style" w:eastAsia="Montserrat" w:hAnsi="Bookman Old Style" w:cs="Montserrat"/>
          <w:b/>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ARTÍCULO 2: DEFINICIONES</w:t>
      </w:r>
      <w:r w:rsidRPr="00AF1292">
        <w:rPr>
          <w:rFonts w:ascii="Bookman Old Style" w:eastAsia="Montserrat" w:hAnsi="Bookman Old Style" w:cs="Montserrat"/>
        </w:rPr>
        <w:t>. Para los efectos de esta ley, se entiende por:</w:t>
      </w:r>
    </w:p>
    <w:p w:rsidR="00AA558C" w:rsidRPr="00AF1292" w:rsidRDefault="00AA558C">
      <w:pPr>
        <w:widowControl w:val="0"/>
        <w:jc w:val="both"/>
        <w:rPr>
          <w:rFonts w:ascii="Bookman Old Style" w:eastAsia="Montserrat" w:hAnsi="Bookman Old Style" w:cs="Montserrat"/>
          <w:strike/>
          <w:u w:val="single"/>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DeepFake: </w:t>
      </w:r>
      <w:r w:rsidRPr="00AF1292">
        <w:rPr>
          <w:rFonts w:ascii="Bookman Old Style" w:eastAsia="Montserrat" w:hAnsi="Bookman Old Style" w:cs="Montserrat"/>
        </w:rPr>
        <w:t xml:space="preserve"> es la utilización de un registro audiovisual, incluidas fotografías, vídeos, imágenes o grabaciones de sonido, que se crean o modifican de manera que a un observador razonable el registro le parezca falsamente un registro auténtico del discurso o conducta real de un individuo.</w:t>
      </w:r>
    </w:p>
    <w:p w:rsidR="00AA558C" w:rsidRPr="00AF1292" w:rsidRDefault="005A0A26">
      <w:pPr>
        <w:jc w:val="both"/>
        <w:rPr>
          <w:rFonts w:ascii="Bookman Old Style" w:eastAsia="Montserrat" w:hAnsi="Bookman Old Style" w:cs="Montserrat"/>
        </w:rPr>
      </w:pPr>
      <w:r w:rsidRPr="00AF1292">
        <w:rPr>
          <w:rFonts w:ascii="Bookman Old Style" w:eastAsia="Montserrat" w:hAnsi="Bookman Old Style" w:cs="Montserrat"/>
          <w:b/>
          <w:u w:val="single"/>
        </w:rPr>
        <w:t xml:space="preserve"> </w:t>
      </w: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Identidad:</w:t>
      </w:r>
      <w:r w:rsidRPr="00AF1292">
        <w:rPr>
          <w:rFonts w:ascii="Bookman Old Style" w:eastAsia="Montserrat" w:hAnsi="Bookman Old Style" w:cs="Montserrat"/>
        </w:rPr>
        <w:t xml:space="preserve"> La identidad se refiere al conjunto de características propias de una persona que la distinguen de otras. En el ámbito legal, la identidad comprende aspectos como el nombre, la nacionalidad, la fecha de nacimiento, el estado civil y otros datos personales que permiten identificar de manera única a un individuo.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Imagen:</w:t>
      </w:r>
      <w:r w:rsidRPr="00AF1292">
        <w:rPr>
          <w:rFonts w:ascii="Bookman Old Style" w:eastAsia="Montserrat" w:hAnsi="Bookman Old Style" w:cs="Montserrat"/>
        </w:rPr>
        <w:t xml:space="preserve"> La imagen hace referencia a la proyección externa de una persona, que incluye aspectos físicos, como el rostro y el cuerpo, así como aspectos emocionales y reputacionales. En el contexto legal, la imagen está protegida contra su uso no autorizado o su manipulación, especialmente cuando pueda causar perjuicio a la persona.</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ARTÍCULO 3: </w:t>
      </w:r>
      <w:r w:rsidRPr="00AF1292">
        <w:rPr>
          <w:rFonts w:ascii="Bookman Old Style" w:eastAsia="Montserrat" w:hAnsi="Bookman Old Style" w:cs="Montserrat"/>
        </w:rPr>
        <w:t xml:space="preserve">Modifíquese el artículo 296 de la Ley 599 del 2000 – Código Penal Colombiano - y adiciónese un inciso el cual quedará así: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ind w:left="720"/>
        <w:jc w:val="both"/>
        <w:rPr>
          <w:rFonts w:ascii="Bookman Old Style" w:eastAsia="Montserrat" w:hAnsi="Bookman Old Style" w:cs="Montserrat"/>
        </w:rPr>
      </w:pPr>
      <w:r w:rsidRPr="00AF1292">
        <w:rPr>
          <w:rFonts w:ascii="Bookman Old Style" w:eastAsia="Montserrat" w:hAnsi="Bookman Old Style" w:cs="Montserrat"/>
          <w:b/>
        </w:rPr>
        <w:t>ARTÍCULO 296. FALSEDAD PERSONAL.</w:t>
      </w:r>
      <w:r w:rsidRPr="00AF1292">
        <w:rPr>
          <w:rFonts w:ascii="Bookman Old Style" w:eastAsia="Montserrat" w:hAnsi="Bookman Old Style" w:cs="Montserrat"/>
        </w:rPr>
        <w:t xml:space="preserve"> El que con el fin de obtener un provecho para sí o para otro, o causar daño, sustituya o suplante a una persona o se atribuya nombre, edad, estado civil, o calidad que pueda tener efectos jurídicos, incurrirá en multa, siempre que la conducta no constituya otro delito. Cuando la falsedad personal se realizare con la utilización de Inteligencia Artificial la multa se aumentará en una tercera parte, siempre que la conducta no constituya otro delito. </w:t>
      </w:r>
    </w:p>
    <w:p w:rsidR="00AA558C" w:rsidRPr="00AF1292" w:rsidRDefault="00AA558C" w:rsidP="00B95250">
      <w:pPr>
        <w:widowControl w:val="0"/>
        <w:jc w:val="both"/>
        <w:rPr>
          <w:rFonts w:ascii="Bookman Old Style" w:eastAsia="Montserrat" w:hAnsi="Bookman Old Style" w:cs="Montserrat"/>
          <w:b/>
          <w:u w:val="single"/>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ARTÍCULO 4. DISPOSICIONES:</w:t>
      </w:r>
      <w:r w:rsidRPr="00AF1292">
        <w:rPr>
          <w:rFonts w:ascii="Bookman Old Style" w:eastAsia="Montserrat" w:hAnsi="Bookman Old Style" w:cs="Montserrat"/>
        </w:rPr>
        <w:t xml:space="preserve"> A partir de la aprobación y promulgación de la </w:t>
      </w:r>
      <w:r w:rsidRPr="00AF1292">
        <w:rPr>
          <w:rFonts w:ascii="Bookman Old Style" w:eastAsia="Montserrat" w:hAnsi="Bookman Old Style" w:cs="Montserrat"/>
        </w:rPr>
        <w:lastRenderedPageBreak/>
        <w:t xml:space="preserve">presente ley, se ordena al Gobierno Nacional y a la Fiscalía General de la Nación, promover la adopción de las siguientes políticas relacionadas con el uso de Inteligencia Artificial (IA) con fines de engaño o daño y que pueden tener consecuencias negativas para la privacidad, la seguridad, la democracia y la credibilidad de las fuentes de información: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1. MARCO ÉTICO</w:t>
      </w:r>
      <w:r w:rsidRPr="00AF1292">
        <w:rPr>
          <w:rFonts w:ascii="Bookman Old Style" w:eastAsia="Montserrat" w:hAnsi="Bookman Old Style" w:cs="Montserrat"/>
          <w:b/>
          <w:strike/>
        </w:rPr>
        <w:t>:</w:t>
      </w:r>
      <w:r w:rsidRPr="00AF1292">
        <w:rPr>
          <w:rFonts w:ascii="Bookman Old Style" w:eastAsia="Montserrat" w:hAnsi="Bookman Old Style" w:cs="Montserrat"/>
          <w:b/>
        </w:rPr>
        <w:t xml:space="preserve"> </w:t>
      </w:r>
      <w:r w:rsidRPr="00AF1292">
        <w:rPr>
          <w:rFonts w:ascii="Bookman Old Style" w:eastAsia="Montserrat" w:hAnsi="Bookman Old Style" w:cs="Montserrat"/>
        </w:rPr>
        <w:t xml:space="preserve">Establecer un marco ético sólido que establezca lineamientos del uso de la IA, y fomente el desarrollo de y acceso a un ecosistema digital inclusivo, dinámico, sostenible e interoperable para una IA confiable y el acceso a él. Este marco ético y legal deberá procurar por apoyar el intercambio seguro, justo, legal y ético de datos y asegurando que las herramientas desarrolladas respeten la privacidad y los derechos humanos.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2. COLABORACIÓN INTERSECTORIAL:</w:t>
      </w:r>
      <w:r w:rsidRPr="00AF1292">
        <w:rPr>
          <w:rFonts w:ascii="Bookman Old Style" w:eastAsia="Montserrat" w:hAnsi="Bookman Old Style" w:cs="Montserrat"/>
        </w:rPr>
        <w:t xml:space="preserve"> Realizar estrategias que fomenten la colaboración entre entidades gubernamentales como el Ministerio de Justicia, el Ministerio de las Tecnologías de la Información y las Comunicaciones, la Fiscalía General de la Nación, el sector privado, la academia y la sociedad civil para compartir conocimientos, recursos y estrategias que identifiquen riesgos que afecten los derechos de autor y suplantación de identidad personal.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3. EDUCACIÓN Y CAPACITACIÓN: </w:t>
      </w:r>
      <w:r w:rsidRPr="00AF1292">
        <w:rPr>
          <w:rFonts w:ascii="Bookman Old Style" w:eastAsia="Montserrat" w:hAnsi="Bookman Old Style" w:cs="Montserrat"/>
        </w:rPr>
        <w:t xml:space="preserve">Implementar programas de educación y capacitación para desarrollar talento local en IA, con un enfoque en la seguridad y la ética digital.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4. DESARROLLO DE TECNOLOGÍA:</w:t>
      </w:r>
      <w:r w:rsidRPr="00AF1292">
        <w:rPr>
          <w:rFonts w:ascii="Bookman Old Style" w:eastAsia="Montserrat" w:hAnsi="Bookman Old Style" w:cs="Montserrat"/>
        </w:rPr>
        <w:t xml:space="preserve"> Invertir y fomentar la inversión privada en la investigación y desarrollo y en ciencia abierta, incluidas iniciativas interdisciplinarias, para estimular la innovación en una IA confiable que se centre en cuestiones técnicas difíciles y en las consecuencias sociales, jurídicas y éticas y las cuestiones normativas relacionadas con la IA. En lo que respecta a la Fiscalía General de la Nación, invertir en tecnologías de IA específicas para la detección de deepfakes, fraudes y suplantación de identidad, utilizando algoritmos avanzados de aprendizaje automático y procesamiento de lenguaje natural. </w:t>
      </w:r>
    </w:p>
    <w:p w:rsidR="00AA558C" w:rsidRPr="00AF1292" w:rsidRDefault="00AA558C">
      <w:pPr>
        <w:widowControl w:val="0"/>
        <w:jc w:val="both"/>
        <w:rPr>
          <w:rFonts w:ascii="Bookman Old Style" w:eastAsia="Montserrat" w:hAnsi="Bookman Old Style" w:cs="Montserrat"/>
        </w:rPr>
      </w:pPr>
    </w:p>
    <w:p w:rsidR="00AA558C" w:rsidRPr="00AF1292" w:rsidRDefault="003D334C">
      <w:pPr>
        <w:widowControl w:val="0"/>
        <w:jc w:val="both"/>
        <w:rPr>
          <w:rFonts w:ascii="Bookman Old Style" w:eastAsia="Montserrat" w:hAnsi="Bookman Old Style" w:cs="Montserrat"/>
        </w:rPr>
      </w:pPr>
      <w:r>
        <w:rPr>
          <w:rFonts w:ascii="Bookman Old Style" w:eastAsia="Montserrat" w:hAnsi="Bookman Old Style" w:cs="Montserrat"/>
          <w:b/>
        </w:rPr>
        <w:t>5</w:t>
      </w:r>
      <w:r w:rsidR="005A0A26" w:rsidRPr="00AF1292">
        <w:rPr>
          <w:rFonts w:ascii="Bookman Old Style" w:eastAsia="Montserrat" w:hAnsi="Bookman Old Style" w:cs="Montserrat"/>
          <w:b/>
        </w:rPr>
        <w:t xml:space="preserve">. TRANSPARENCIA Y GOBERNANZA DE IA: </w:t>
      </w:r>
      <w:r w:rsidR="005A0A26" w:rsidRPr="00AF1292">
        <w:rPr>
          <w:rFonts w:ascii="Bookman Old Style" w:eastAsia="Montserrat" w:hAnsi="Bookman Old Style" w:cs="Montserrat"/>
        </w:rPr>
        <w:t xml:space="preserve">Promover la transparencia en los algoritmos de IA y establecer un sistema de gobernanza que incluya auditorías y revisiones periódicas. </w:t>
      </w:r>
    </w:p>
    <w:p w:rsidR="00AA558C" w:rsidRPr="00AF1292" w:rsidRDefault="00AA558C">
      <w:pPr>
        <w:widowControl w:val="0"/>
        <w:jc w:val="both"/>
        <w:rPr>
          <w:rFonts w:ascii="Bookman Old Style" w:eastAsia="Montserrat" w:hAnsi="Bookman Old Style" w:cs="Montserrat"/>
        </w:rPr>
      </w:pPr>
    </w:p>
    <w:p w:rsidR="00AA558C" w:rsidRPr="00AF1292" w:rsidRDefault="003D334C">
      <w:pPr>
        <w:widowControl w:val="0"/>
        <w:jc w:val="both"/>
        <w:rPr>
          <w:rFonts w:ascii="Bookman Old Style" w:eastAsia="Montserrat" w:hAnsi="Bookman Old Style" w:cs="Montserrat"/>
        </w:rPr>
      </w:pPr>
      <w:r>
        <w:rPr>
          <w:rFonts w:ascii="Bookman Old Style" w:eastAsia="Montserrat" w:hAnsi="Bookman Old Style" w:cs="Montserrat"/>
          <w:b/>
        </w:rPr>
        <w:t>6</w:t>
      </w:r>
      <w:r w:rsidR="005A0A26" w:rsidRPr="00AF1292">
        <w:rPr>
          <w:rFonts w:ascii="Bookman Old Style" w:eastAsia="Montserrat" w:hAnsi="Bookman Old Style" w:cs="Montserrat"/>
          <w:b/>
        </w:rPr>
        <w:t>. COOPERACIÓN INTERNACIONAL:</w:t>
      </w:r>
      <w:r w:rsidR="005A0A26" w:rsidRPr="00AF1292">
        <w:rPr>
          <w:rFonts w:ascii="Bookman Old Style" w:eastAsia="Montserrat" w:hAnsi="Bookman Old Style" w:cs="Montserrat"/>
        </w:rPr>
        <w:t xml:space="preserve"> Buscar alianzas internacionales para compartir mejores prácticas y tecnologías avanzadas en la lucha contra la suplantación de identidad y los deepfakes. </w:t>
      </w:r>
    </w:p>
    <w:p w:rsidR="00AA558C" w:rsidRPr="00AF1292" w:rsidRDefault="00AA558C">
      <w:pPr>
        <w:widowControl w:val="0"/>
        <w:jc w:val="both"/>
        <w:rPr>
          <w:rFonts w:ascii="Bookman Old Style" w:eastAsia="Montserrat" w:hAnsi="Bookman Old Style" w:cs="Montserrat"/>
        </w:rPr>
      </w:pPr>
    </w:p>
    <w:p w:rsidR="00AA558C" w:rsidRPr="00AF1292" w:rsidRDefault="003D334C">
      <w:pPr>
        <w:widowControl w:val="0"/>
        <w:jc w:val="both"/>
        <w:rPr>
          <w:rFonts w:ascii="Bookman Old Style" w:eastAsia="Montserrat" w:hAnsi="Bookman Old Style" w:cs="Montserrat"/>
        </w:rPr>
      </w:pPr>
      <w:r>
        <w:rPr>
          <w:rFonts w:ascii="Bookman Old Style" w:eastAsia="Montserrat" w:hAnsi="Bookman Old Style" w:cs="Montserrat"/>
          <w:b/>
        </w:rPr>
        <w:t>7</w:t>
      </w:r>
      <w:r w:rsidR="005A0A26" w:rsidRPr="00AF1292">
        <w:rPr>
          <w:rFonts w:ascii="Bookman Old Style" w:eastAsia="Montserrat" w:hAnsi="Bookman Old Style" w:cs="Montserrat"/>
          <w:b/>
        </w:rPr>
        <w:t xml:space="preserve">. RESPUESTA RÁPIDA: </w:t>
      </w:r>
      <w:r w:rsidR="005A0A26" w:rsidRPr="00AF1292">
        <w:rPr>
          <w:rFonts w:ascii="Bookman Old Style" w:eastAsia="Montserrat" w:hAnsi="Bookman Old Style" w:cs="Montserrat"/>
        </w:rPr>
        <w:t xml:space="preserve">Establecer un protocolo de respuesta rápida para actuar eficientemente ante incidentes de suplantación de identidad y deepfakes detectados por las herramientas de IA. </w:t>
      </w:r>
    </w:p>
    <w:p w:rsidR="00AA558C" w:rsidRPr="00AF1292" w:rsidRDefault="00AA558C">
      <w:pPr>
        <w:widowControl w:val="0"/>
        <w:jc w:val="both"/>
        <w:rPr>
          <w:rFonts w:ascii="Bookman Old Style" w:eastAsia="Montserrat" w:hAnsi="Bookman Old Style" w:cs="Montserrat"/>
        </w:rPr>
      </w:pPr>
    </w:p>
    <w:p w:rsidR="00AA558C" w:rsidRPr="00AF1292" w:rsidRDefault="003D334C">
      <w:pPr>
        <w:widowControl w:val="0"/>
        <w:jc w:val="both"/>
        <w:rPr>
          <w:rFonts w:ascii="Bookman Old Style" w:eastAsia="Montserrat" w:hAnsi="Bookman Old Style" w:cs="Montserrat"/>
        </w:rPr>
      </w:pPr>
      <w:r>
        <w:rPr>
          <w:rFonts w:ascii="Bookman Old Style" w:eastAsia="Montserrat" w:hAnsi="Bookman Old Style" w:cs="Montserrat"/>
          <w:b/>
        </w:rPr>
        <w:t>8</w:t>
      </w:r>
      <w:r w:rsidR="005A0A26" w:rsidRPr="00AF1292">
        <w:rPr>
          <w:rFonts w:ascii="Bookman Old Style" w:eastAsia="Montserrat" w:hAnsi="Bookman Old Style" w:cs="Montserrat"/>
          <w:b/>
        </w:rPr>
        <w:t>. RELACIONES INTERNACIONALES:</w:t>
      </w:r>
      <w:r w:rsidR="005A0A26" w:rsidRPr="00AF1292">
        <w:rPr>
          <w:rFonts w:ascii="Bookman Old Style" w:eastAsia="Montserrat" w:hAnsi="Bookman Old Style" w:cs="Montserrat"/>
          <w:b/>
          <w:u w:val="single"/>
        </w:rPr>
        <w:t xml:space="preserve"> </w:t>
      </w:r>
      <w:r w:rsidR="005A0A26" w:rsidRPr="00AF1292">
        <w:rPr>
          <w:rFonts w:ascii="Bookman Old Style" w:eastAsia="Montserrat" w:hAnsi="Bookman Old Style" w:cs="Montserrat"/>
        </w:rPr>
        <w:t xml:space="preserve">Promover y colaborar con otros países de la región y a nivel global en la implementación de acuerdos internacionales que </w:t>
      </w:r>
      <w:r w:rsidR="005A0A26" w:rsidRPr="00AF1292">
        <w:rPr>
          <w:rFonts w:ascii="Bookman Old Style" w:eastAsia="Montserrat" w:hAnsi="Bookman Old Style" w:cs="Montserrat"/>
        </w:rPr>
        <w:lastRenderedPageBreak/>
        <w:t>incentiven el desarrollo de tecnologías y políticas públicas contra la suplantación de identidad y deepfakes</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PARÁGRAFO. </w:t>
      </w:r>
      <w:r w:rsidRPr="00AF1292">
        <w:rPr>
          <w:rFonts w:ascii="Bookman Old Style" w:eastAsia="Montserrat" w:hAnsi="Bookman Old Style" w:cs="Montserrat"/>
        </w:rPr>
        <w:t xml:space="preserve">El Gobierno Nacional y la Fiscalía General de la Nación, contarán con un plazo de dos (2) años para la formulación de las acciones e iniciativas dispuestos en el presente artículo. </w:t>
      </w:r>
    </w:p>
    <w:p w:rsidR="00AA558C" w:rsidRPr="00AF1292" w:rsidRDefault="00AA558C">
      <w:pPr>
        <w:widowControl w:val="0"/>
        <w:jc w:val="both"/>
        <w:rPr>
          <w:rFonts w:ascii="Bookman Old Style" w:eastAsia="Montserrat" w:hAnsi="Bookman Old Style" w:cs="Montserrat"/>
        </w:rPr>
      </w:pPr>
    </w:p>
    <w:p w:rsidR="00AA558C" w:rsidRPr="00AF1292" w:rsidRDefault="005A0A26">
      <w:pPr>
        <w:widowControl w:val="0"/>
        <w:jc w:val="both"/>
        <w:rPr>
          <w:rFonts w:ascii="Bookman Old Style" w:eastAsia="Montserrat" w:hAnsi="Bookman Old Style" w:cs="Montserrat"/>
        </w:rPr>
      </w:pPr>
      <w:r w:rsidRPr="00AF1292">
        <w:rPr>
          <w:rFonts w:ascii="Bookman Old Style" w:eastAsia="Montserrat" w:hAnsi="Bookman Old Style" w:cs="Montserrat"/>
          <w:b/>
        </w:rPr>
        <w:t xml:space="preserve">ARTÍCULO 5. VIGENCIA. </w:t>
      </w:r>
      <w:r w:rsidRPr="00AF1292">
        <w:rPr>
          <w:rFonts w:ascii="Bookman Old Style" w:eastAsia="Montserrat" w:hAnsi="Bookman Old Style" w:cs="Montserrat"/>
        </w:rPr>
        <w:t>La presente ley entrará a regir a partir de su sanción, promulgación y publicación en el Diario Oficial y deroga las disposiciones que le sean contrarias. La modificación del artículo 296 de la Ley 599 de 2000, establecida en esta ley, comenzará a regir un (1) año después de su sanción y promulgación.</w:t>
      </w:r>
    </w:p>
    <w:p w:rsidR="00AA558C" w:rsidRPr="00AF1292" w:rsidRDefault="00AA558C">
      <w:pPr>
        <w:rPr>
          <w:rFonts w:ascii="Bookman Old Style" w:hAnsi="Bookman Old Style"/>
        </w:rPr>
      </w:pPr>
    </w:p>
    <w:p w:rsidR="00AA558C" w:rsidRPr="00AF1292" w:rsidRDefault="00AA558C">
      <w:pPr>
        <w:rPr>
          <w:rFonts w:ascii="Bookman Old Style" w:eastAsia="Montserrat" w:hAnsi="Bookman Old Style" w:cs="Montserrat"/>
          <w:b/>
        </w:rPr>
      </w:pPr>
    </w:p>
    <w:p w:rsidR="00B95250" w:rsidRPr="00AF1292" w:rsidRDefault="00B95250" w:rsidP="00B95250">
      <w:pPr>
        <w:rPr>
          <w:rFonts w:ascii="Bookman Old Style" w:eastAsia="Montserrat" w:hAnsi="Bookman Old Style" w:cs="Montserrat"/>
          <w:b/>
        </w:rPr>
      </w:pPr>
    </w:p>
    <w:p w:rsidR="00BC6230" w:rsidRPr="00AF1292" w:rsidRDefault="00BC6230" w:rsidP="00B95250">
      <w:pPr>
        <w:rPr>
          <w:rFonts w:ascii="Bookman Old Style" w:eastAsia="Montserrat" w:hAnsi="Bookman Old Style" w:cs="Montserrat"/>
          <w:b/>
        </w:rPr>
      </w:pPr>
    </w:p>
    <w:p w:rsidR="00B95250" w:rsidRPr="00AF1292" w:rsidRDefault="00B95250" w:rsidP="00B95250">
      <w:pPr>
        <w:jc w:val="center"/>
        <w:rPr>
          <w:rFonts w:ascii="Bookman Old Style" w:eastAsia="Montserrat" w:hAnsi="Bookman Old Style" w:cs="Montserrat"/>
          <w:b/>
        </w:rPr>
      </w:pPr>
      <w:r w:rsidRPr="00AF1292">
        <w:rPr>
          <w:rFonts w:ascii="Bookman Old Style" w:eastAsia="Montserrat" w:hAnsi="Bookman Old Style" w:cs="Montserrat"/>
          <w:b/>
        </w:rPr>
        <w:t>MARELEN CASTILLO TORRES</w:t>
      </w:r>
    </w:p>
    <w:p w:rsidR="00B95250" w:rsidRPr="00AF1292" w:rsidRDefault="00B95250" w:rsidP="00B95250">
      <w:pPr>
        <w:jc w:val="center"/>
        <w:rPr>
          <w:rFonts w:ascii="Bookman Old Style" w:eastAsia="Montserrat" w:hAnsi="Bookman Old Style" w:cs="Montserrat"/>
          <w:b/>
        </w:rPr>
      </w:pPr>
      <w:r w:rsidRPr="00AF1292">
        <w:rPr>
          <w:rFonts w:ascii="Bookman Old Style" w:eastAsia="Montserrat" w:hAnsi="Bookman Old Style" w:cs="Montserrat"/>
          <w:b/>
        </w:rPr>
        <w:t>Representante a la Cámara</w:t>
      </w:r>
    </w:p>
    <w:p w:rsidR="00B95250" w:rsidRPr="00AF1292" w:rsidRDefault="00B95250">
      <w:pPr>
        <w:rPr>
          <w:rFonts w:ascii="Bookman Old Style" w:eastAsia="Montserrat" w:hAnsi="Bookman Old Style" w:cs="Montserrat"/>
          <w:b/>
        </w:rPr>
      </w:pPr>
    </w:p>
    <w:sectPr w:rsidR="00B95250" w:rsidRPr="00AF129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06" w:rsidRDefault="00477306">
      <w:pPr>
        <w:spacing w:line="240" w:lineRule="auto"/>
      </w:pPr>
      <w:r>
        <w:separator/>
      </w:r>
    </w:p>
  </w:endnote>
  <w:endnote w:type="continuationSeparator" w:id="0">
    <w:p w:rsidR="00477306" w:rsidRDefault="00477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06" w:rsidRDefault="00477306">
      <w:pPr>
        <w:spacing w:line="240" w:lineRule="auto"/>
      </w:pPr>
      <w:r>
        <w:separator/>
      </w:r>
    </w:p>
  </w:footnote>
  <w:footnote w:type="continuationSeparator" w:id="0">
    <w:p w:rsidR="00477306" w:rsidRDefault="00477306">
      <w:pPr>
        <w:spacing w:line="240" w:lineRule="auto"/>
      </w:pPr>
      <w:r>
        <w:continuationSeparator/>
      </w:r>
    </w:p>
  </w:footnote>
  <w:footnote w:id="1">
    <w:p w:rsidR="00AA558C" w:rsidRDefault="005A0A26">
      <w:pPr>
        <w:spacing w:line="240" w:lineRule="auto"/>
        <w:rPr>
          <w:rFonts w:ascii="Calibri" w:eastAsia="Calibri" w:hAnsi="Calibri" w:cs="Calibri"/>
          <w:sz w:val="20"/>
          <w:szCs w:val="20"/>
        </w:rPr>
      </w:pPr>
      <w:r>
        <w:rPr>
          <w:vertAlign w:val="superscript"/>
        </w:rPr>
        <w:footnoteRef/>
      </w:r>
      <w:r>
        <w:rPr>
          <w:rFonts w:ascii="Calibri" w:eastAsia="Calibri" w:hAnsi="Calibri" w:cs="Calibri"/>
        </w:rPr>
        <w:t xml:space="preserve"> </w:t>
      </w:r>
      <w:hyperlink r:id="rId1">
        <w:r>
          <w:rPr>
            <w:rFonts w:ascii="Calibri" w:eastAsia="Calibri" w:hAnsi="Calibri" w:cs="Calibri"/>
            <w:color w:val="1155CC"/>
            <w:sz w:val="20"/>
            <w:szCs w:val="20"/>
            <w:u w:val="single"/>
          </w:rPr>
          <w:t>https://www.europol.europa.eu/publications-events/publications/facing-reality-law-enforcement-and-challenge-of-deepfakes</w:t>
        </w:r>
      </w:hyperlink>
      <w:r>
        <w:rPr>
          <w:rFonts w:ascii="Calibri" w:eastAsia="Calibri" w:hAnsi="Calibri" w:cs="Calibri"/>
          <w:sz w:val="20"/>
          <w:szCs w:val="20"/>
        </w:rPr>
        <w:t xml:space="preserve"> </w:t>
      </w:r>
    </w:p>
  </w:footnote>
  <w:footnote w:id="2">
    <w:p w:rsidR="00AA558C" w:rsidRDefault="005A0A2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2">
        <w:r>
          <w:rPr>
            <w:rFonts w:ascii="Calibri" w:eastAsia="Calibri" w:hAnsi="Calibri" w:cs="Calibri"/>
            <w:color w:val="1155CC"/>
            <w:sz w:val="20"/>
            <w:szCs w:val="20"/>
            <w:u w:val="single"/>
          </w:rPr>
          <w:t>https://www.europol.europa.eu/cms/sites/default/files/documents/internet_organised_crime_threat_assessment_iocta_2020.pdf</w:t>
        </w:r>
      </w:hyperlink>
      <w:r>
        <w:rPr>
          <w:rFonts w:ascii="Calibri" w:eastAsia="Calibri" w:hAnsi="Calibri" w:cs="Calibri"/>
          <w:sz w:val="20"/>
          <w:szCs w:val="20"/>
        </w:rPr>
        <w:t xml:space="preserve"> </w:t>
      </w:r>
    </w:p>
  </w:footnote>
  <w:footnote w:id="3">
    <w:p w:rsidR="00AA558C" w:rsidRDefault="005A0A2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3">
        <w:r>
          <w:rPr>
            <w:rFonts w:ascii="Calibri" w:eastAsia="Calibri" w:hAnsi="Calibri" w:cs="Calibri"/>
            <w:color w:val="1155CC"/>
            <w:sz w:val="20"/>
            <w:szCs w:val="20"/>
            <w:u w:val="single"/>
          </w:rPr>
          <w:t>https://www.corteconstitucional.gov.co/relatoria/2013/t-634-13.htm</w:t>
        </w:r>
      </w:hyperlink>
      <w:r>
        <w:rPr>
          <w:rFonts w:ascii="Calibri" w:eastAsia="Calibri" w:hAnsi="Calibri" w:cs="Calibri"/>
          <w:sz w:val="20"/>
          <w:szCs w:val="20"/>
        </w:rPr>
        <w:t xml:space="preserve"> </w:t>
      </w:r>
    </w:p>
  </w:footnote>
  <w:footnote w:id="4">
    <w:p w:rsidR="00AA558C" w:rsidRDefault="005A0A26">
      <w:pPr>
        <w:spacing w:line="240" w:lineRule="auto"/>
        <w:rPr>
          <w:rFonts w:ascii="Calibri" w:eastAsia="Calibri" w:hAnsi="Calibri" w:cs="Calibri"/>
        </w:rPr>
      </w:pPr>
      <w:r>
        <w:rPr>
          <w:vertAlign w:val="superscript"/>
        </w:rPr>
        <w:footnoteRef/>
      </w:r>
    </w:p>
    <w:p w:rsidR="00AA558C" w:rsidRDefault="00477306">
      <w:pPr>
        <w:spacing w:line="240" w:lineRule="auto"/>
        <w:rPr>
          <w:rFonts w:ascii="Calibri" w:eastAsia="Calibri" w:hAnsi="Calibri" w:cs="Calibri"/>
          <w:sz w:val="20"/>
          <w:szCs w:val="20"/>
        </w:rPr>
      </w:pPr>
      <w:hyperlink r:id="rId4">
        <w:r w:rsidR="005A0A26">
          <w:rPr>
            <w:rFonts w:ascii="Calibri" w:eastAsia="Calibri" w:hAnsi="Calibri" w:cs="Calibri"/>
            <w:color w:val="1155CC"/>
            <w:sz w:val="20"/>
            <w:szCs w:val="20"/>
            <w:u w:val="single"/>
          </w:rPr>
          <w:t>https://obtienearchivo.bcn.cl/obtienearchivo?id=repositorio/10221/34470/2/BCN_regulacion_global_IA_2023_jul.pdf</w:t>
        </w:r>
      </w:hyperlink>
      <w:r w:rsidR="005A0A26">
        <w:rPr>
          <w:rFonts w:ascii="Calibri" w:eastAsia="Calibri" w:hAnsi="Calibri" w:cs="Calibri"/>
          <w:sz w:val="20"/>
          <w:szCs w:val="20"/>
        </w:rPr>
        <w:t xml:space="preserve"> </w:t>
      </w:r>
    </w:p>
  </w:footnote>
  <w:footnote w:id="5">
    <w:p w:rsidR="00AA558C" w:rsidRDefault="005A0A2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5">
        <w:r>
          <w:rPr>
            <w:rFonts w:ascii="Calibri" w:eastAsia="Calibri" w:hAnsi="Calibri" w:cs="Calibri"/>
            <w:color w:val="1155CC"/>
            <w:sz w:val="20"/>
            <w:szCs w:val="20"/>
            <w:u w:val="single"/>
          </w:rPr>
          <w:t>https://www.europarl.europa.eu/news/es/press-room/20240308IPR19015/la-eurocamara-aprueba-una-ley-historica-para-regular-la-inteligencia-artificial</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93" w:rsidRDefault="00AB6493">
    <w:pPr>
      <w:pStyle w:val="Encabezado"/>
    </w:pPr>
    <w:r>
      <w:rPr>
        <w:noProof/>
        <w:color w:val="000000"/>
        <w:lang w:val="es-CO"/>
      </w:rPr>
      <w:drawing>
        <wp:anchor distT="0" distB="0" distL="114300" distR="114300" simplePos="0" relativeHeight="251659264" behindDoc="0" locked="0" layoutInCell="1" hidden="0" allowOverlap="1" wp14:anchorId="6A9357CF" wp14:editId="319C7E4F">
          <wp:simplePos x="0" y="0"/>
          <wp:positionH relativeFrom="margin">
            <wp:posOffset>-647700</wp:posOffset>
          </wp:positionH>
          <wp:positionV relativeFrom="topMargin">
            <wp:posOffset>257175</wp:posOffset>
          </wp:positionV>
          <wp:extent cx="2304000" cy="439200"/>
          <wp:effectExtent l="0" t="0" r="1270" b="0"/>
          <wp:wrapSquare wrapText="bothSides" distT="0" distB="0" distL="114300" distR="114300"/>
          <wp:docPr id="13399723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323788"/>
    <w:multiLevelType w:val="multilevel"/>
    <w:tmpl w:val="4C944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941255"/>
    <w:multiLevelType w:val="multilevel"/>
    <w:tmpl w:val="0BFC2B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A445CE"/>
    <w:multiLevelType w:val="multilevel"/>
    <w:tmpl w:val="54D6F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8C"/>
    <w:rsid w:val="00055E34"/>
    <w:rsid w:val="003D334C"/>
    <w:rsid w:val="00477306"/>
    <w:rsid w:val="004F6A12"/>
    <w:rsid w:val="00511976"/>
    <w:rsid w:val="0059632C"/>
    <w:rsid w:val="005A0A26"/>
    <w:rsid w:val="006D5274"/>
    <w:rsid w:val="007765AA"/>
    <w:rsid w:val="007926F1"/>
    <w:rsid w:val="009F445C"/>
    <w:rsid w:val="009F5703"/>
    <w:rsid w:val="00AA558C"/>
    <w:rsid w:val="00AB6493"/>
    <w:rsid w:val="00AF1292"/>
    <w:rsid w:val="00B95250"/>
    <w:rsid w:val="00BC6230"/>
    <w:rsid w:val="00D74E35"/>
    <w:rsid w:val="00D939F0"/>
    <w:rsid w:val="00DC024E"/>
    <w:rsid w:val="00E42F84"/>
    <w:rsid w:val="00F33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1A45F-5873-4312-94C9-EDE0CB7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E6E6E6"/>
    </w:tcPr>
  </w:style>
  <w:style w:type="paragraph" w:styleId="Encabezado">
    <w:name w:val="header"/>
    <w:basedOn w:val="Normal"/>
    <w:link w:val="EncabezadoCar"/>
    <w:uiPriority w:val="99"/>
    <w:unhideWhenUsed/>
    <w:rsid w:val="00AB649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B6493"/>
  </w:style>
  <w:style w:type="paragraph" w:styleId="Piedepgina">
    <w:name w:val="footer"/>
    <w:basedOn w:val="Normal"/>
    <w:link w:val="PiedepginaCar"/>
    <w:uiPriority w:val="99"/>
    <w:unhideWhenUsed/>
    <w:rsid w:val="00AB649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B6493"/>
  </w:style>
  <w:style w:type="paragraph" w:styleId="Textodeglobo">
    <w:name w:val="Balloon Text"/>
    <w:basedOn w:val="Normal"/>
    <w:link w:val="TextodegloboCar"/>
    <w:uiPriority w:val="99"/>
    <w:semiHidden/>
    <w:unhideWhenUsed/>
    <w:rsid w:val="00D939F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9F0"/>
    <w:rPr>
      <w:rFonts w:ascii="Segoe UI" w:hAnsi="Segoe UI" w:cs="Segoe UI"/>
      <w:sz w:val="18"/>
      <w:szCs w:val="18"/>
    </w:rPr>
  </w:style>
  <w:style w:type="paragraph" w:styleId="Prrafodelista">
    <w:name w:val="List Paragraph"/>
    <w:basedOn w:val="Normal"/>
    <w:uiPriority w:val="34"/>
    <w:qFormat/>
    <w:rsid w:val="00D93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13/t-634-13.htm" TargetMode="External"/><Relationship Id="rId2" Type="http://schemas.openxmlformats.org/officeDocument/2006/relationships/hyperlink" Target="https://www.europol.europa.eu/cms/sites/default/files/documents/internet_organised_crime_threat_assessment_iocta_2020.pdf" TargetMode="External"/><Relationship Id="rId1" Type="http://schemas.openxmlformats.org/officeDocument/2006/relationships/hyperlink" Target="https://www.europol.europa.eu/publications-events/publications/facing-reality-law-enforcement-and-challenge-of-deepfakes" TargetMode="External"/><Relationship Id="rId5" Type="http://schemas.openxmlformats.org/officeDocument/2006/relationships/hyperlink" Target="https://www.europarl.europa.eu/news/es/press-room/20240308IPR19015/la-eurocamara-aprueba-una-ley-historica-para-regular-la-inteligencia-artificial" TargetMode="External"/><Relationship Id="rId4" Type="http://schemas.openxmlformats.org/officeDocument/2006/relationships/hyperlink" Target="https://obtienearchivo.bcn.cl/obtienearchivo?id=repositorio/10221/34470/2/BCN_regulacion_global_IA_2023_ju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93B74-E536-4992-8586-344873D5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7265</Words>
  <Characters>39963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Andres Suarez Almanza</dc:creator>
  <cp:lastModifiedBy>Deisy Viviana Avila Diaz</cp:lastModifiedBy>
  <cp:revision>2</cp:revision>
  <cp:lastPrinted>2025-02-24T21:50:00Z</cp:lastPrinted>
  <dcterms:created xsi:type="dcterms:W3CDTF">2025-02-24T22:35:00Z</dcterms:created>
  <dcterms:modified xsi:type="dcterms:W3CDTF">2025-02-24T22:35:00Z</dcterms:modified>
</cp:coreProperties>
</file>